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4F" w:rsidRPr="00E8424F" w:rsidRDefault="003E13C9" w:rsidP="0036594F">
      <w:pPr>
        <w:pStyle w:val="BodyA"/>
        <w:jc w:val="right"/>
        <w:rPr>
          <w:rFonts w:ascii="Times New Roman" w:hAnsi="Times New Roman"/>
          <w:sz w:val="22"/>
          <w:szCs w:val="22"/>
        </w:rPr>
      </w:pPr>
      <w:r>
        <w:rPr>
          <w:rFonts w:ascii="Times New Roman" w:hAnsi="Times New Roman"/>
          <w:sz w:val="22"/>
          <w:szCs w:val="22"/>
        </w:rPr>
        <w:t>Final</w:t>
      </w:r>
      <w:r w:rsidR="0036594F" w:rsidRPr="00E8424F">
        <w:rPr>
          <w:rFonts w:ascii="Times New Roman" w:hAnsi="Times New Roman"/>
          <w:sz w:val="22"/>
          <w:szCs w:val="22"/>
        </w:rPr>
        <w:t xml:space="preserve"> </w:t>
      </w:r>
      <w:r w:rsidR="003B57D8">
        <w:rPr>
          <w:rFonts w:ascii="Times New Roman" w:hAnsi="Times New Roman"/>
          <w:sz w:val="22"/>
          <w:szCs w:val="22"/>
        </w:rPr>
        <w:t>10</w:t>
      </w:r>
      <w:r w:rsidR="00BD1F91">
        <w:rPr>
          <w:rFonts w:ascii="Times New Roman" w:hAnsi="Times New Roman"/>
          <w:sz w:val="22"/>
          <w:szCs w:val="22"/>
        </w:rPr>
        <w:t xml:space="preserve"> January, </w:t>
      </w:r>
      <w:r w:rsidR="0036594F" w:rsidRPr="00E8424F">
        <w:rPr>
          <w:rFonts w:ascii="Times New Roman" w:hAnsi="Times New Roman"/>
          <w:sz w:val="22"/>
          <w:szCs w:val="22"/>
        </w:rPr>
        <w:t>201</w:t>
      </w:r>
      <w:r w:rsidR="00BD1F91">
        <w:rPr>
          <w:rFonts w:ascii="Times New Roman" w:hAnsi="Times New Roman"/>
          <w:sz w:val="22"/>
          <w:szCs w:val="22"/>
        </w:rPr>
        <w:t>1</w:t>
      </w:r>
    </w:p>
    <w:p w:rsidR="0036594F" w:rsidRPr="00E8424F" w:rsidRDefault="0036594F">
      <w:pPr>
        <w:pStyle w:val="BodyA"/>
        <w:jc w:val="center"/>
        <w:rPr>
          <w:rFonts w:ascii="Times New Roman" w:hAnsi="Times New Roman"/>
          <w:b/>
          <w:sz w:val="22"/>
          <w:szCs w:val="22"/>
        </w:rPr>
      </w:pPr>
      <w:r w:rsidRPr="00E8424F">
        <w:rPr>
          <w:rFonts w:ascii="Times New Roman" w:hAnsi="Times New Roman"/>
          <w:b/>
          <w:sz w:val="22"/>
          <w:szCs w:val="22"/>
        </w:rPr>
        <w:t>UNDG Interim Guidance Note</w:t>
      </w:r>
    </w:p>
    <w:p w:rsidR="00142D4B" w:rsidRPr="00E8424F" w:rsidRDefault="00142D4B">
      <w:pPr>
        <w:pStyle w:val="BodyA"/>
        <w:jc w:val="center"/>
        <w:rPr>
          <w:rFonts w:ascii="Times New Roman" w:hAnsi="Times New Roman"/>
          <w:b/>
          <w:sz w:val="22"/>
          <w:szCs w:val="22"/>
        </w:rPr>
      </w:pPr>
      <w:r w:rsidRPr="00E8424F">
        <w:rPr>
          <w:rFonts w:ascii="Times New Roman" w:hAnsi="Times New Roman"/>
          <w:b/>
          <w:sz w:val="22"/>
          <w:szCs w:val="22"/>
        </w:rPr>
        <w:t>Common Country Programme Document</w:t>
      </w:r>
    </w:p>
    <w:p w:rsidR="00142D4B" w:rsidRPr="00E8424F" w:rsidRDefault="00142D4B">
      <w:pPr>
        <w:pStyle w:val="BodyA"/>
        <w:rPr>
          <w:rFonts w:ascii="Times New Roman" w:hAnsi="Times New Roman"/>
          <w:sz w:val="22"/>
          <w:szCs w:val="22"/>
        </w:rPr>
      </w:pPr>
    </w:p>
    <w:p w:rsidR="00142D4B" w:rsidRPr="00E8424F" w:rsidRDefault="00142D4B" w:rsidP="00E8424F">
      <w:pPr>
        <w:pStyle w:val="BodyA"/>
        <w:numPr>
          <w:ilvl w:val="0"/>
          <w:numId w:val="3"/>
        </w:numPr>
        <w:spacing w:after="120"/>
        <w:rPr>
          <w:rFonts w:ascii="Times New Roman" w:hAnsi="Times New Roman"/>
          <w:b/>
          <w:sz w:val="22"/>
          <w:szCs w:val="22"/>
        </w:rPr>
      </w:pPr>
      <w:r w:rsidRPr="00E8424F">
        <w:rPr>
          <w:rFonts w:ascii="Times New Roman" w:hAnsi="Times New Roman"/>
          <w:b/>
          <w:sz w:val="22"/>
          <w:szCs w:val="22"/>
        </w:rPr>
        <w:t>Purpose</w:t>
      </w:r>
    </w:p>
    <w:p w:rsidR="00142D4B" w:rsidRPr="00E8424F" w:rsidRDefault="00142D4B" w:rsidP="00D965B5">
      <w:pPr>
        <w:pStyle w:val="BodyA"/>
        <w:jc w:val="both"/>
        <w:rPr>
          <w:rFonts w:ascii="Times New Roman" w:hAnsi="Times New Roman"/>
          <w:sz w:val="22"/>
          <w:szCs w:val="22"/>
        </w:rPr>
      </w:pPr>
      <w:r w:rsidRPr="00E8424F">
        <w:rPr>
          <w:rFonts w:ascii="Times New Roman" w:hAnsi="Times New Roman"/>
          <w:sz w:val="22"/>
          <w:szCs w:val="22"/>
        </w:rPr>
        <w:t xml:space="preserve">The purpose of this </w:t>
      </w:r>
      <w:r w:rsidR="009B6C26" w:rsidRPr="00E8424F">
        <w:rPr>
          <w:rFonts w:ascii="Times New Roman" w:hAnsi="Times New Roman"/>
          <w:sz w:val="22"/>
          <w:szCs w:val="22"/>
        </w:rPr>
        <w:t>Interim Guidance N</w:t>
      </w:r>
      <w:r w:rsidRPr="00E8424F">
        <w:rPr>
          <w:rFonts w:ascii="Times New Roman" w:hAnsi="Times New Roman"/>
          <w:sz w:val="22"/>
          <w:szCs w:val="22"/>
        </w:rPr>
        <w:t xml:space="preserve">ote is to </w:t>
      </w:r>
      <w:r w:rsidR="004E6254" w:rsidRPr="00E8424F">
        <w:rPr>
          <w:rFonts w:ascii="Times New Roman" w:hAnsi="Times New Roman"/>
          <w:sz w:val="22"/>
          <w:szCs w:val="22"/>
        </w:rPr>
        <w:t xml:space="preserve">provide guidance </w:t>
      </w:r>
      <w:r w:rsidR="00E85564">
        <w:rPr>
          <w:rFonts w:ascii="Times New Roman" w:hAnsi="Times New Roman"/>
          <w:sz w:val="22"/>
          <w:szCs w:val="22"/>
        </w:rPr>
        <w:t xml:space="preserve">to </w:t>
      </w:r>
      <w:r w:rsidR="00BD1F91">
        <w:rPr>
          <w:rFonts w:ascii="Times New Roman" w:hAnsi="Times New Roman"/>
          <w:sz w:val="22"/>
          <w:szCs w:val="22"/>
        </w:rPr>
        <w:t xml:space="preserve">members of the </w:t>
      </w:r>
      <w:r w:rsidRPr="00E8424F">
        <w:rPr>
          <w:rFonts w:ascii="Times New Roman" w:hAnsi="Times New Roman"/>
          <w:sz w:val="22"/>
          <w:szCs w:val="22"/>
        </w:rPr>
        <w:t>UN</w:t>
      </w:r>
      <w:r w:rsidR="00614F99" w:rsidRPr="00E8424F">
        <w:rPr>
          <w:rFonts w:ascii="Times New Roman" w:hAnsi="Times New Roman"/>
          <w:sz w:val="22"/>
          <w:szCs w:val="22"/>
        </w:rPr>
        <w:t xml:space="preserve"> Country Teams</w:t>
      </w:r>
      <w:r w:rsidR="00D431A3">
        <w:rPr>
          <w:rFonts w:ascii="Times New Roman" w:hAnsi="Times New Roman"/>
          <w:sz w:val="22"/>
          <w:szCs w:val="22"/>
        </w:rPr>
        <w:t xml:space="preserve"> (UNCTs)</w:t>
      </w:r>
      <w:r w:rsidR="00614F99" w:rsidRPr="00E8424F">
        <w:rPr>
          <w:rFonts w:ascii="Times New Roman" w:hAnsi="Times New Roman"/>
          <w:sz w:val="22"/>
          <w:szCs w:val="22"/>
        </w:rPr>
        <w:t xml:space="preserve"> that have opted to </w:t>
      </w:r>
      <w:r w:rsidR="00BD1F91">
        <w:rPr>
          <w:rFonts w:ascii="Times New Roman" w:hAnsi="Times New Roman"/>
          <w:sz w:val="22"/>
          <w:szCs w:val="22"/>
        </w:rPr>
        <w:t xml:space="preserve">participate in the development of a </w:t>
      </w:r>
      <w:r w:rsidR="00473F97" w:rsidRPr="00E8424F">
        <w:rPr>
          <w:rFonts w:ascii="Times New Roman" w:hAnsi="Times New Roman"/>
          <w:sz w:val="22"/>
          <w:szCs w:val="22"/>
        </w:rPr>
        <w:t xml:space="preserve">common country programme document </w:t>
      </w:r>
      <w:r w:rsidR="004E6254" w:rsidRPr="00E8424F">
        <w:rPr>
          <w:rFonts w:ascii="Times New Roman" w:hAnsi="Times New Roman"/>
          <w:sz w:val="22"/>
          <w:szCs w:val="22"/>
        </w:rPr>
        <w:t>(</w:t>
      </w:r>
      <w:r w:rsidR="00473F97" w:rsidRPr="00E8424F">
        <w:rPr>
          <w:rFonts w:ascii="Times New Roman" w:hAnsi="Times New Roman"/>
          <w:sz w:val="22"/>
          <w:szCs w:val="22"/>
        </w:rPr>
        <w:t>common CPD</w:t>
      </w:r>
      <w:r w:rsidR="004E6254" w:rsidRPr="00E8424F">
        <w:rPr>
          <w:rFonts w:ascii="Times New Roman" w:hAnsi="Times New Roman"/>
          <w:sz w:val="22"/>
          <w:szCs w:val="22"/>
        </w:rPr>
        <w:t>)</w:t>
      </w:r>
      <w:r w:rsidR="00BD1F91">
        <w:rPr>
          <w:rFonts w:ascii="Times New Roman" w:hAnsi="Times New Roman"/>
          <w:sz w:val="22"/>
          <w:szCs w:val="22"/>
        </w:rPr>
        <w:t xml:space="preserve">, which is </w:t>
      </w:r>
      <w:r w:rsidR="004E6254" w:rsidRPr="00E8424F">
        <w:rPr>
          <w:rFonts w:ascii="Times New Roman" w:hAnsi="Times New Roman"/>
          <w:sz w:val="22"/>
          <w:szCs w:val="22"/>
        </w:rPr>
        <w:t xml:space="preserve">to </w:t>
      </w:r>
      <w:r w:rsidR="00BD1F91">
        <w:rPr>
          <w:rFonts w:ascii="Times New Roman" w:hAnsi="Times New Roman"/>
          <w:sz w:val="22"/>
          <w:szCs w:val="22"/>
        </w:rPr>
        <w:t xml:space="preserve">be presented to </w:t>
      </w:r>
      <w:r w:rsidR="004E6254" w:rsidRPr="00E8424F">
        <w:rPr>
          <w:rFonts w:ascii="Times New Roman" w:hAnsi="Times New Roman"/>
          <w:sz w:val="22"/>
          <w:szCs w:val="22"/>
        </w:rPr>
        <w:t xml:space="preserve">the </w:t>
      </w:r>
      <w:r w:rsidR="00614F99" w:rsidRPr="00E8424F">
        <w:rPr>
          <w:rFonts w:ascii="Times New Roman" w:hAnsi="Times New Roman"/>
          <w:sz w:val="22"/>
          <w:szCs w:val="22"/>
        </w:rPr>
        <w:t xml:space="preserve">UNDP/UNFPA, UNICEF and WFP </w:t>
      </w:r>
      <w:r w:rsidR="004E6254" w:rsidRPr="00E8424F">
        <w:rPr>
          <w:rFonts w:ascii="Times New Roman" w:hAnsi="Times New Roman"/>
          <w:sz w:val="22"/>
          <w:szCs w:val="22"/>
        </w:rPr>
        <w:t>Executive Board</w:t>
      </w:r>
      <w:r w:rsidR="00614F99" w:rsidRPr="00E8424F">
        <w:rPr>
          <w:rFonts w:ascii="Times New Roman" w:hAnsi="Times New Roman"/>
          <w:sz w:val="22"/>
          <w:szCs w:val="22"/>
        </w:rPr>
        <w:t xml:space="preserve">s </w:t>
      </w:r>
      <w:r w:rsidR="004E6254" w:rsidRPr="00E8424F">
        <w:rPr>
          <w:rFonts w:ascii="Times New Roman" w:hAnsi="Times New Roman"/>
          <w:sz w:val="22"/>
          <w:szCs w:val="22"/>
        </w:rPr>
        <w:t xml:space="preserve">in </w:t>
      </w:r>
      <w:r w:rsidR="00BD1F91">
        <w:rPr>
          <w:rFonts w:ascii="Times New Roman" w:hAnsi="Times New Roman"/>
          <w:sz w:val="22"/>
          <w:szCs w:val="22"/>
        </w:rPr>
        <w:t xml:space="preserve">the annual session of </w:t>
      </w:r>
      <w:r w:rsidR="004E6254" w:rsidRPr="00E8424F">
        <w:rPr>
          <w:rFonts w:ascii="Times New Roman" w:hAnsi="Times New Roman"/>
          <w:sz w:val="22"/>
          <w:szCs w:val="22"/>
        </w:rPr>
        <w:t xml:space="preserve">2011. </w:t>
      </w:r>
      <w:r w:rsidR="00F70525" w:rsidRPr="00E8424F">
        <w:rPr>
          <w:rFonts w:ascii="Times New Roman" w:hAnsi="Times New Roman"/>
          <w:sz w:val="22"/>
          <w:szCs w:val="22"/>
        </w:rPr>
        <w:t xml:space="preserve">It is expected that this Interim Guidance Note will be further developed based on the experience and lessons learned from the </w:t>
      </w:r>
      <w:r w:rsidR="001C2F5C" w:rsidRPr="00E8424F">
        <w:rPr>
          <w:rFonts w:ascii="Times New Roman" w:hAnsi="Times New Roman"/>
          <w:sz w:val="22"/>
          <w:szCs w:val="22"/>
        </w:rPr>
        <w:t xml:space="preserve">process of developing and </w:t>
      </w:r>
      <w:r w:rsidR="00626CCD" w:rsidRPr="00E8424F">
        <w:rPr>
          <w:rFonts w:ascii="Times New Roman" w:hAnsi="Times New Roman"/>
          <w:sz w:val="22"/>
          <w:szCs w:val="22"/>
        </w:rPr>
        <w:t>review</w:t>
      </w:r>
      <w:r w:rsidR="001C2F5C" w:rsidRPr="00E8424F">
        <w:rPr>
          <w:rFonts w:ascii="Times New Roman" w:hAnsi="Times New Roman"/>
          <w:sz w:val="22"/>
          <w:szCs w:val="22"/>
        </w:rPr>
        <w:t xml:space="preserve">ing </w:t>
      </w:r>
      <w:r w:rsidR="00473F97" w:rsidRPr="00E8424F">
        <w:rPr>
          <w:rFonts w:ascii="Times New Roman" w:hAnsi="Times New Roman"/>
          <w:sz w:val="22"/>
          <w:szCs w:val="22"/>
        </w:rPr>
        <w:t>common CPDs</w:t>
      </w:r>
      <w:r w:rsidR="00F70525" w:rsidRPr="00E8424F">
        <w:rPr>
          <w:rFonts w:ascii="Times New Roman" w:hAnsi="Times New Roman"/>
          <w:sz w:val="22"/>
          <w:szCs w:val="22"/>
        </w:rPr>
        <w:t>.</w:t>
      </w:r>
      <w:r w:rsidR="000A0110">
        <w:rPr>
          <w:rFonts w:ascii="Times New Roman" w:hAnsi="Times New Roman"/>
          <w:sz w:val="22"/>
          <w:szCs w:val="22"/>
        </w:rPr>
        <w:t xml:space="preserve"> It should be noted that participation in a common country programme document is not a condition to access resources from the One Fund at country level.</w:t>
      </w:r>
    </w:p>
    <w:p w:rsidR="00142D4B" w:rsidRPr="00E8424F" w:rsidRDefault="00142D4B" w:rsidP="00D965B5">
      <w:pPr>
        <w:pStyle w:val="BodyA"/>
        <w:rPr>
          <w:rFonts w:ascii="Times New Roman" w:hAnsi="Times New Roman"/>
          <w:sz w:val="22"/>
          <w:szCs w:val="22"/>
        </w:rPr>
      </w:pPr>
    </w:p>
    <w:p w:rsidR="00142D4B" w:rsidRPr="00E8424F" w:rsidRDefault="00142D4B" w:rsidP="00E8424F">
      <w:pPr>
        <w:pStyle w:val="BodyA"/>
        <w:numPr>
          <w:ilvl w:val="0"/>
          <w:numId w:val="3"/>
        </w:numPr>
        <w:spacing w:after="120"/>
        <w:rPr>
          <w:rFonts w:ascii="Times New Roman" w:hAnsi="Times New Roman"/>
          <w:b/>
          <w:sz w:val="22"/>
          <w:szCs w:val="22"/>
        </w:rPr>
      </w:pPr>
      <w:r w:rsidRPr="00E8424F">
        <w:rPr>
          <w:rFonts w:ascii="Times New Roman" w:hAnsi="Times New Roman"/>
          <w:b/>
          <w:sz w:val="22"/>
          <w:szCs w:val="22"/>
        </w:rPr>
        <w:t>Background</w:t>
      </w:r>
    </w:p>
    <w:p w:rsidR="008828BD" w:rsidRDefault="00366EAD" w:rsidP="00E8424F">
      <w:pPr>
        <w:pStyle w:val="ListParagraph"/>
        <w:spacing w:after="120"/>
        <w:ind w:left="0"/>
        <w:jc w:val="both"/>
        <w:rPr>
          <w:sz w:val="22"/>
          <w:szCs w:val="22"/>
        </w:rPr>
      </w:pPr>
      <w:r w:rsidRPr="00E8424F">
        <w:rPr>
          <w:sz w:val="22"/>
          <w:szCs w:val="22"/>
        </w:rPr>
        <w:t xml:space="preserve">The General </w:t>
      </w:r>
      <w:r w:rsidR="00D965B5" w:rsidRPr="00E8424F">
        <w:rPr>
          <w:sz w:val="22"/>
          <w:szCs w:val="22"/>
        </w:rPr>
        <w:t>Assembly, in</w:t>
      </w:r>
      <w:r w:rsidR="00142D4B" w:rsidRPr="00285872">
        <w:rPr>
          <w:sz w:val="22"/>
          <w:szCs w:val="22"/>
        </w:rPr>
        <w:t>resolution 64/289 of 9 July 2010</w:t>
      </w:r>
      <w:r w:rsidR="00285872">
        <w:rPr>
          <w:sz w:val="22"/>
          <w:szCs w:val="22"/>
        </w:rPr>
        <w:t xml:space="preserve"> (</w:t>
      </w:r>
      <w:hyperlink r:id="rId8" w:history="1">
        <w:r w:rsidR="00285872" w:rsidRPr="00285872">
          <w:rPr>
            <w:rStyle w:val="Hyperlink"/>
            <w:sz w:val="22"/>
            <w:szCs w:val="22"/>
          </w:rPr>
          <w:t>A/RES/64/280</w:t>
        </w:r>
      </w:hyperlink>
      <w:r w:rsidR="00285872">
        <w:rPr>
          <w:sz w:val="22"/>
          <w:szCs w:val="22"/>
        </w:rPr>
        <w:t xml:space="preserve">) </w:t>
      </w:r>
      <w:r w:rsidR="00142D4B" w:rsidRPr="00E8424F">
        <w:rPr>
          <w:sz w:val="22"/>
          <w:szCs w:val="22"/>
        </w:rPr>
        <w:t>o</w:t>
      </w:r>
      <w:r w:rsidR="00D965B5" w:rsidRPr="00E8424F">
        <w:rPr>
          <w:sz w:val="22"/>
          <w:szCs w:val="22"/>
        </w:rPr>
        <w:t xml:space="preserve">n system-wide coherence (link) </w:t>
      </w:r>
      <w:r w:rsidR="00142D4B" w:rsidRPr="00E8424F">
        <w:rPr>
          <w:sz w:val="22"/>
          <w:szCs w:val="22"/>
        </w:rPr>
        <w:t>invite</w:t>
      </w:r>
      <w:r w:rsidR="00D965B5" w:rsidRPr="00E8424F">
        <w:rPr>
          <w:sz w:val="22"/>
          <w:szCs w:val="22"/>
        </w:rPr>
        <w:t>d</w:t>
      </w:r>
      <w:r w:rsidR="00142D4B" w:rsidRPr="00E8424F">
        <w:rPr>
          <w:sz w:val="22"/>
          <w:szCs w:val="22"/>
        </w:rPr>
        <w:t>:</w:t>
      </w:r>
    </w:p>
    <w:p w:rsidR="00142D4B" w:rsidRPr="00E8424F" w:rsidRDefault="00142D4B" w:rsidP="00E8424F">
      <w:pPr>
        <w:pStyle w:val="ListParagraph"/>
        <w:spacing w:after="120"/>
        <w:ind w:right="1440"/>
        <w:jc w:val="both"/>
        <w:rPr>
          <w:sz w:val="22"/>
          <w:szCs w:val="22"/>
        </w:rPr>
      </w:pPr>
      <w:r w:rsidRPr="00E8424F">
        <w:rPr>
          <w:sz w:val="22"/>
          <w:szCs w:val="22"/>
        </w:rPr>
        <w:t xml:space="preserve">  “those countries presenting a common country programme document on a voluntary basis to prepare it consistent with the United Nations Development Assistance Framework, where it exists, and to present in the common country programme the critical actions that will be taken to achieve the agreed results with available or indicative resources, as well as actions to ensure coherence of the assistance provided by the United Nations system at the country level, attaching, as an annex, a brief description of the agreed results and indicative resources for each of the relevant United Nations agencies”. </w:t>
      </w:r>
    </w:p>
    <w:p w:rsidR="00317AF5" w:rsidRDefault="00142D4B" w:rsidP="00317AF5">
      <w:pPr>
        <w:pStyle w:val="ListParagraph"/>
        <w:spacing w:after="120"/>
        <w:ind w:left="0"/>
        <w:jc w:val="both"/>
        <w:rPr>
          <w:sz w:val="22"/>
          <w:szCs w:val="22"/>
        </w:rPr>
      </w:pPr>
      <w:r w:rsidRPr="00E8424F">
        <w:rPr>
          <w:sz w:val="22"/>
          <w:szCs w:val="22"/>
        </w:rPr>
        <w:t xml:space="preserve">The General Assembly also invited (paragraph 17): “the governing body of each fund, programme and specialized agency, where relevant, and in accordance with its mandate, to consider and approve its role and the resources it will require for the implementation of the common country programme on the basis of the </w:t>
      </w:r>
      <w:r w:rsidR="00F53E98" w:rsidRPr="00E8424F">
        <w:rPr>
          <w:sz w:val="22"/>
          <w:szCs w:val="22"/>
        </w:rPr>
        <w:t>organisation</w:t>
      </w:r>
      <w:r w:rsidRPr="00E8424F">
        <w:rPr>
          <w:sz w:val="22"/>
          <w:szCs w:val="22"/>
        </w:rPr>
        <w:t xml:space="preserve">-specific annex”. </w:t>
      </w:r>
    </w:p>
    <w:p w:rsidR="00317AF5" w:rsidRDefault="00142D4B" w:rsidP="00317AF5">
      <w:pPr>
        <w:pStyle w:val="ListParagraph"/>
        <w:spacing w:after="120"/>
        <w:ind w:left="0"/>
        <w:jc w:val="both"/>
        <w:rPr>
          <w:sz w:val="22"/>
          <w:szCs w:val="22"/>
        </w:rPr>
      </w:pPr>
      <w:r w:rsidRPr="00E8424F">
        <w:rPr>
          <w:sz w:val="22"/>
          <w:szCs w:val="22"/>
        </w:rPr>
        <w:t>The resolution also noted (para</w:t>
      </w:r>
      <w:r w:rsidR="00116CEE" w:rsidRPr="00E8424F">
        <w:rPr>
          <w:sz w:val="22"/>
          <w:szCs w:val="22"/>
        </w:rPr>
        <w:t xml:space="preserve">graph </w:t>
      </w:r>
      <w:r w:rsidRPr="00E8424F">
        <w:rPr>
          <w:sz w:val="22"/>
          <w:szCs w:val="22"/>
        </w:rPr>
        <w:t xml:space="preserve">18) “that the approval of the contribution of each fund, programme and specialized </w:t>
      </w:r>
      <w:r w:rsidR="00F53E98" w:rsidRPr="00E8424F">
        <w:rPr>
          <w:sz w:val="22"/>
          <w:szCs w:val="22"/>
        </w:rPr>
        <w:t>organisation</w:t>
      </w:r>
      <w:r w:rsidRPr="00E8424F">
        <w:rPr>
          <w:sz w:val="22"/>
          <w:szCs w:val="22"/>
        </w:rPr>
        <w:t xml:space="preserve">, where relevant, will be based on an assessment of whether the elements in the </w:t>
      </w:r>
      <w:r w:rsidR="00F53E98" w:rsidRPr="00E8424F">
        <w:rPr>
          <w:sz w:val="22"/>
          <w:szCs w:val="22"/>
        </w:rPr>
        <w:t>organisation-specific</w:t>
      </w:r>
      <w:r w:rsidRPr="00E8424F">
        <w:rPr>
          <w:sz w:val="22"/>
          <w:szCs w:val="22"/>
        </w:rPr>
        <w:t xml:space="preserve">reflect the priorities of its strategic plan and overall mandate, as well as their alignment with national priorities and strategies”. </w:t>
      </w:r>
    </w:p>
    <w:p w:rsidR="00317AF5" w:rsidRPr="00E8424F" w:rsidRDefault="00285872" w:rsidP="00AF12F3">
      <w:pPr>
        <w:pStyle w:val="ListParagraph"/>
        <w:spacing w:after="120"/>
        <w:ind w:left="0"/>
        <w:jc w:val="both"/>
        <w:rPr>
          <w:sz w:val="22"/>
          <w:szCs w:val="22"/>
        </w:rPr>
      </w:pPr>
      <w:r>
        <w:rPr>
          <w:sz w:val="22"/>
          <w:szCs w:val="22"/>
        </w:rPr>
        <w:t xml:space="preserve">The </w:t>
      </w:r>
      <w:r w:rsidR="00317AF5">
        <w:rPr>
          <w:sz w:val="22"/>
          <w:szCs w:val="22"/>
        </w:rPr>
        <w:t xml:space="preserve">Report of the Secretary General </w:t>
      </w:r>
      <w:r w:rsidR="00C45E92">
        <w:rPr>
          <w:sz w:val="22"/>
          <w:szCs w:val="22"/>
        </w:rPr>
        <w:t xml:space="preserve">of 22 December 2009, </w:t>
      </w:r>
      <w:r w:rsidR="00317AF5">
        <w:rPr>
          <w:sz w:val="22"/>
          <w:szCs w:val="22"/>
        </w:rPr>
        <w:t>‘Follow-up to General Assembly resolution 63/311 on system-wide coherence related to operational activities for development’</w:t>
      </w:r>
      <w:r w:rsidR="00AF12F3">
        <w:rPr>
          <w:sz w:val="22"/>
          <w:szCs w:val="22"/>
        </w:rPr>
        <w:t xml:space="preserve"> (</w:t>
      </w:r>
      <w:hyperlink r:id="rId9" w:history="1">
        <w:r w:rsidRPr="00285872">
          <w:rPr>
            <w:rStyle w:val="Hyperlink"/>
            <w:sz w:val="22"/>
            <w:szCs w:val="22"/>
          </w:rPr>
          <w:t>A/64/589</w:t>
        </w:r>
      </w:hyperlink>
      <w:r>
        <w:rPr>
          <w:sz w:val="22"/>
          <w:szCs w:val="22"/>
        </w:rPr>
        <w:t xml:space="preserve">) </w:t>
      </w:r>
      <w:r w:rsidR="00AF12F3">
        <w:rPr>
          <w:sz w:val="22"/>
          <w:szCs w:val="22"/>
        </w:rPr>
        <w:t xml:space="preserve">summarizes the country programme approval mechanisms of funds, programmes, specialized agencies and other entities </w:t>
      </w:r>
      <w:r w:rsidR="00C45E92">
        <w:rPr>
          <w:sz w:val="22"/>
          <w:szCs w:val="22"/>
        </w:rPr>
        <w:t xml:space="preserve">and can serve as a useful </w:t>
      </w:r>
      <w:r w:rsidR="00AF12F3">
        <w:rPr>
          <w:sz w:val="22"/>
          <w:szCs w:val="22"/>
        </w:rPr>
        <w:t>reference for UNCTs</w:t>
      </w:r>
      <w:r>
        <w:rPr>
          <w:sz w:val="22"/>
          <w:szCs w:val="22"/>
        </w:rPr>
        <w:t xml:space="preserve"> (see paragraphs 15-19)</w:t>
      </w:r>
      <w:r w:rsidR="00AF12F3">
        <w:rPr>
          <w:sz w:val="22"/>
          <w:szCs w:val="22"/>
        </w:rPr>
        <w:t>.</w:t>
      </w:r>
    </w:p>
    <w:p w:rsidR="00142D4B" w:rsidRPr="00C45E92" w:rsidRDefault="00142D4B" w:rsidP="00D965B5">
      <w:pPr>
        <w:pStyle w:val="BodyA"/>
        <w:rPr>
          <w:rFonts w:ascii="Times New Roman" w:hAnsi="Times New Roman"/>
          <w:sz w:val="22"/>
          <w:szCs w:val="22"/>
          <w:lang w:val="en-GB"/>
        </w:rPr>
      </w:pPr>
    </w:p>
    <w:p w:rsidR="00142D4B" w:rsidRPr="00E8424F" w:rsidRDefault="000437C2" w:rsidP="00E8424F">
      <w:pPr>
        <w:pStyle w:val="BodyA"/>
        <w:numPr>
          <w:ilvl w:val="0"/>
          <w:numId w:val="3"/>
        </w:numPr>
        <w:spacing w:after="120"/>
        <w:rPr>
          <w:rFonts w:ascii="Times New Roman" w:hAnsi="Times New Roman"/>
          <w:b/>
          <w:sz w:val="22"/>
          <w:szCs w:val="22"/>
        </w:rPr>
      </w:pPr>
      <w:r w:rsidRPr="00E8424F">
        <w:rPr>
          <w:rFonts w:ascii="Times New Roman" w:hAnsi="Times New Roman"/>
          <w:b/>
          <w:sz w:val="22"/>
          <w:szCs w:val="22"/>
        </w:rPr>
        <w:t xml:space="preserve">What is a </w:t>
      </w:r>
      <w:r w:rsidR="00142D4B" w:rsidRPr="00E8424F">
        <w:rPr>
          <w:rFonts w:ascii="Times New Roman" w:hAnsi="Times New Roman"/>
          <w:b/>
          <w:sz w:val="22"/>
          <w:szCs w:val="22"/>
        </w:rPr>
        <w:t>common C</w:t>
      </w:r>
      <w:r w:rsidR="0036594F" w:rsidRPr="00E8424F">
        <w:rPr>
          <w:rFonts w:ascii="Times New Roman" w:hAnsi="Times New Roman"/>
          <w:b/>
          <w:sz w:val="22"/>
          <w:szCs w:val="22"/>
        </w:rPr>
        <w:t>ountry Programme Document</w:t>
      </w:r>
      <w:r w:rsidR="00142D4B" w:rsidRPr="00E8424F">
        <w:rPr>
          <w:rFonts w:ascii="Times New Roman" w:hAnsi="Times New Roman"/>
          <w:b/>
          <w:sz w:val="22"/>
          <w:szCs w:val="22"/>
        </w:rPr>
        <w:t>?</w:t>
      </w:r>
    </w:p>
    <w:p w:rsidR="000E2B28" w:rsidRDefault="00141A7C" w:rsidP="0006251F">
      <w:pPr>
        <w:pStyle w:val="ListParagraph"/>
        <w:spacing w:after="120"/>
        <w:ind w:left="0"/>
        <w:jc w:val="both"/>
        <w:rPr>
          <w:sz w:val="22"/>
          <w:szCs w:val="22"/>
        </w:rPr>
      </w:pPr>
      <w:r w:rsidRPr="00E8424F">
        <w:rPr>
          <w:sz w:val="22"/>
          <w:szCs w:val="22"/>
        </w:rPr>
        <w:t xml:space="preserve">The development of a </w:t>
      </w:r>
      <w:r w:rsidR="00473F97" w:rsidRPr="00E8424F">
        <w:rPr>
          <w:sz w:val="22"/>
          <w:szCs w:val="22"/>
        </w:rPr>
        <w:t xml:space="preserve">common CPD </w:t>
      </w:r>
      <w:r w:rsidRPr="00E8424F">
        <w:rPr>
          <w:sz w:val="22"/>
          <w:szCs w:val="22"/>
        </w:rPr>
        <w:t>is u</w:t>
      </w:r>
      <w:r w:rsidR="00EB080A" w:rsidRPr="00E8424F">
        <w:rPr>
          <w:sz w:val="22"/>
          <w:szCs w:val="22"/>
        </w:rPr>
        <w:t xml:space="preserve">ndertaken on a voluntary basis </w:t>
      </w:r>
      <w:r w:rsidRPr="00E8424F">
        <w:rPr>
          <w:sz w:val="22"/>
          <w:szCs w:val="22"/>
        </w:rPr>
        <w:t>in accordance with General Assembly resolutions, for submission to</w:t>
      </w:r>
      <w:r w:rsidR="00EB080A" w:rsidRPr="00E8424F">
        <w:rPr>
          <w:sz w:val="22"/>
          <w:szCs w:val="22"/>
        </w:rPr>
        <w:t xml:space="preserve"> the respective organizations’ E</w:t>
      </w:r>
      <w:r w:rsidRPr="00E8424F">
        <w:rPr>
          <w:sz w:val="22"/>
          <w:szCs w:val="22"/>
        </w:rPr>
        <w:t xml:space="preserve">xecutive </w:t>
      </w:r>
      <w:r w:rsidR="00EB080A" w:rsidRPr="00E8424F">
        <w:rPr>
          <w:sz w:val="22"/>
          <w:szCs w:val="22"/>
        </w:rPr>
        <w:t>B</w:t>
      </w:r>
      <w:r w:rsidRPr="00E8424F">
        <w:rPr>
          <w:sz w:val="22"/>
          <w:szCs w:val="22"/>
        </w:rPr>
        <w:t>oards for approval.</w:t>
      </w:r>
      <w:r w:rsidR="0036594F" w:rsidRPr="00E8424F">
        <w:rPr>
          <w:sz w:val="22"/>
          <w:szCs w:val="22"/>
        </w:rPr>
        <w:t>A common CPD outlines the results, partner contributions and indicative resources of relevant United Nations organizations and is consistent with the United Nations Development Assistance Framework</w:t>
      </w:r>
      <w:r w:rsidR="00360402">
        <w:rPr>
          <w:sz w:val="22"/>
          <w:szCs w:val="22"/>
        </w:rPr>
        <w:t xml:space="preserve"> (UNDAF) or </w:t>
      </w:r>
      <w:r w:rsidR="0036594F" w:rsidRPr="00E8424F">
        <w:rPr>
          <w:sz w:val="22"/>
          <w:szCs w:val="22"/>
        </w:rPr>
        <w:t xml:space="preserve">equivalent strategy document. </w:t>
      </w:r>
      <w:r w:rsidR="000E2B28">
        <w:rPr>
          <w:sz w:val="22"/>
          <w:szCs w:val="22"/>
        </w:rPr>
        <w:t xml:space="preserve">The timing of the UNDAF and common CPD should </w:t>
      </w:r>
      <w:r w:rsidR="00F016F5">
        <w:rPr>
          <w:sz w:val="22"/>
          <w:szCs w:val="22"/>
        </w:rPr>
        <w:t xml:space="preserve">follow </w:t>
      </w:r>
      <w:r w:rsidR="000E2B28">
        <w:rPr>
          <w:sz w:val="22"/>
          <w:szCs w:val="22"/>
        </w:rPr>
        <w:t xml:space="preserve">the planning cycle of the government to the extent possible. </w:t>
      </w:r>
    </w:p>
    <w:p w:rsidR="000E2B28" w:rsidRDefault="000E2B28" w:rsidP="0006251F">
      <w:pPr>
        <w:pStyle w:val="ListParagraph"/>
        <w:spacing w:after="120"/>
        <w:ind w:left="0"/>
        <w:jc w:val="both"/>
        <w:rPr>
          <w:sz w:val="22"/>
          <w:szCs w:val="22"/>
        </w:rPr>
      </w:pPr>
    </w:p>
    <w:p w:rsidR="00142D4B" w:rsidRDefault="0036594F" w:rsidP="0006251F">
      <w:pPr>
        <w:pStyle w:val="ListParagraph"/>
        <w:spacing w:after="120"/>
        <w:ind w:left="0"/>
        <w:jc w:val="both"/>
        <w:rPr>
          <w:sz w:val="22"/>
          <w:szCs w:val="22"/>
        </w:rPr>
      </w:pPr>
      <w:r w:rsidRPr="00E8424F">
        <w:rPr>
          <w:sz w:val="22"/>
          <w:szCs w:val="22"/>
        </w:rPr>
        <w:lastRenderedPageBreak/>
        <w:t>U</w:t>
      </w:r>
      <w:r w:rsidR="00D431A3">
        <w:rPr>
          <w:sz w:val="22"/>
          <w:szCs w:val="22"/>
        </w:rPr>
        <w:t xml:space="preserve">NCTs that </w:t>
      </w:r>
      <w:r w:rsidR="004B4732">
        <w:rPr>
          <w:sz w:val="22"/>
          <w:szCs w:val="22"/>
        </w:rPr>
        <w:t xml:space="preserve">opt </w:t>
      </w:r>
      <w:r w:rsidRPr="00E8424F">
        <w:rPr>
          <w:sz w:val="22"/>
          <w:szCs w:val="22"/>
        </w:rPr>
        <w:t xml:space="preserve">to </w:t>
      </w:r>
      <w:r w:rsidR="00D431A3">
        <w:rPr>
          <w:sz w:val="22"/>
          <w:szCs w:val="22"/>
        </w:rPr>
        <w:t xml:space="preserve">develop </w:t>
      </w:r>
      <w:r w:rsidR="00EB080A" w:rsidRPr="00E8424F">
        <w:rPr>
          <w:sz w:val="22"/>
          <w:szCs w:val="22"/>
        </w:rPr>
        <w:t>a</w:t>
      </w:r>
      <w:r w:rsidR="00473F97" w:rsidRPr="00E8424F">
        <w:rPr>
          <w:sz w:val="22"/>
          <w:szCs w:val="22"/>
        </w:rPr>
        <w:t>common CPD</w:t>
      </w:r>
      <w:r w:rsidR="004B4732">
        <w:rPr>
          <w:sz w:val="22"/>
          <w:szCs w:val="22"/>
        </w:rPr>
        <w:t xml:space="preserve">are recommended to </w:t>
      </w:r>
      <w:r w:rsidRPr="00E8424F">
        <w:rPr>
          <w:sz w:val="22"/>
          <w:szCs w:val="22"/>
        </w:rPr>
        <w:t xml:space="preserve">prepare a short and strategic UNDAF document. </w:t>
      </w:r>
      <w:r w:rsidR="000E2B28">
        <w:rPr>
          <w:sz w:val="22"/>
          <w:szCs w:val="22"/>
        </w:rPr>
        <w:t>This will facilitate the development of the common CPD, which must adhere to the standard format and word limit summarized below.</w:t>
      </w:r>
      <w:r w:rsidRPr="00E8424F">
        <w:rPr>
          <w:sz w:val="22"/>
          <w:szCs w:val="22"/>
        </w:rPr>
        <w:t xml:space="preserve">When </w:t>
      </w:r>
      <w:r w:rsidR="00B15D77">
        <w:rPr>
          <w:sz w:val="22"/>
          <w:szCs w:val="22"/>
        </w:rPr>
        <w:t xml:space="preserve">the </w:t>
      </w:r>
      <w:r w:rsidRPr="00E8424F">
        <w:rPr>
          <w:sz w:val="22"/>
          <w:szCs w:val="22"/>
        </w:rPr>
        <w:t xml:space="preserve">draft UNDAF document </w:t>
      </w:r>
      <w:r w:rsidR="00B15D77">
        <w:rPr>
          <w:sz w:val="22"/>
          <w:szCs w:val="22"/>
        </w:rPr>
        <w:t xml:space="preserve">is approved by the </w:t>
      </w:r>
      <w:r w:rsidRPr="00E8424F">
        <w:rPr>
          <w:sz w:val="22"/>
          <w:szCs w:val="22"/>
        </w:rPr>
        <w:t xml:space="preserve">government, the </w:t>
      </w:r>
      <w:r w:rsidR="00B15D77">
        <w:rPr>
          <w:sz w:val="22"/>
          <w:szCs w:val="22"/>
        </w:rPr>
        <w:t xml:space="preserve">narrative of the </w:t>
      </w:r>
      <w:r w:rsidRPr="00E8424F">
        <w:rPr>
          <w:sz w:val="22"/>
          <w:szCs w:val="22"/>
        </w:rPr>
        <w:t xml:space="preserve">common CPD and </w:t>
      </w:r>
      <w:r w:rsidR="00B15D77">
        <w:rPr>
          <w:sz w:val="22"/>
          <w:szCs w:val="22"/>
        </w:rPr>
        <w:t xml:space="preserve">also the annexes </w:t>
      </w:r>
      <w:r w:rsidRPr="00E8424F">
        <w:rPr>
          <w:sz w:val="22"/>
          <w:szCs w:val="22"/>
        </w:rPr>
        <w:t xml:space="preserve">can be submitted for </w:t>
      </w:r>
      <w:r w:rsidR="00B15D77">
        <w:rPr>
          <w:sz w:val="22"/>
          <w:szCs w:val="22"/>
        </w:rPr>
        <w:t xml:space="preserve">review </w:t>
      </w:r>
      <w:r w:rsidR="00F016F5">
        <w:rPr>
          <w:sz w:val="22"/>
          <w:szCs w:val="22"/>
        </w:rPr>
        <w:t xml:space="preserve">and approval through the same process as </w:t>
      </w:r>
      <w:r w:rsidR="00737B1E">
        <w:rPr>
          <w:sz w:val="22"/>
          <w:szCs w:val="22"/>
        </w:rPr>
        <w:t xml:space="preserve">with </w:t>
      </w:r>
      <w:r w:rsidR="00F016F5">
        <w:rPr>
          <w:sz w:val="22"/>
          <w:szCs w:val="22"/>
        </w:rPr>
        <w:t>CPD</w:t>
      </w:r>
      <w:r w:rsidR="00737B1E">
        <w:rPr>
          <w:sz w:val="22"/>
          <w:szCs w:val="22"/>
        </w:rPr>
        <w:t xml:space="preserve">s </w:t>
      </w:r>
      <w:r w:rsidR="00F016F5">
        <w:rPr>
          <w:sz w:val="22"/>
          <w:szCs w:val="22"/>
        </w:rPr>
        <w:t xml:space="preserve">(further </w:t>
      </w:r>
      <w:r w:rsidR="00023152">
        <w:rPr>
          <w:sz w:val="22"/>
          <w:szCs w:val="22"/>
        </w:rPr>
        <w:t>described below</w:t>
      </w:r>
      <w:r w:rsidR="00F016F5">
        <w:rPr>
          <w:sz w:val="22"/>
          <w:szCs w:val="22"/>
        </w:rPr>
        <w:t>)</w:t>
      </w:r>
      <w:r w:rsidRPr="00E8424F">
        <w:rPr>
          <w:sz w:val="22"/>
          <w:szCs w:val="22"/>
        </w:rPr>
        <w:t xml:space="preserve">. </w:t>
      </w:r>
    </w:p>
    <w:p w:rsidR="00CB19A0" w:rsidRPr="00E8424F" w:rsidRDefault="00CB19A0" w:rsidP="0006251F">
      <w:pPr>
        <w:pStyle w:val="ListParagraph"/>
        <w:spacing w:after="120"/>
        <w:ind w:left="0"/>
        <w:jc w:val="both"/>
        <w:rPr>
          <w:sz w:val="22"/>
          <w:szCs w:val="22"/>
        </w:rPr>
      </w:pPr>
    </w:p>
    <w:p w:rsidR="00142D4B" w:rsidRPr="00E8424F" w:rsidRDefault="003B7EB3" w:rsidP="00E8424F">
      <w:pPr>
        <w:pStyle w:val="BodyA"/>
        <w:numPr>
          <w:ilvl w:val="0"/>
          <w:numId w:val="3"/>
        </w:numPr>
        <w:spacing w:after="120"/>
        <w:rPr>
          <w:rFonts w:ascii="Times New Roman" w:hAnsi="Times New Roman"/>
          <w:b/>
          <w:sz w:val="22"/>
          <w:szCs w:val="22"/>
        </w:rPr>
      </w:pPr>
      <w:r w:rsidRPr="00E8424F">
        <w:rPr>
          <w:rFonts w:ascii="Times New Roman" w:hAnsi="Times New Roman"/>
          <w:b/>
          <w:sz w:val="22"/>
          <w:szCs w:val="22"/>
        </w:rPr>
        <w:t>Format</w:t>
      </w:r>
    </w:p>
    <w:p w:rsidR="00142D4B" w:rsidRPr="00E8424F" w:rsidRDefault="00142D4B" w:rsidP="00E8424F">
      <w:pPr>
        <w:pStyle w:val="ListParagraph"/>
        <w:spacing w:after="120"/>
        <w:ind w:left="0"/>
        <w:jc w:val="both"/>
        <w:rPr>
          <w:sz w:val="22"/>
          <w:szCs w:val="22"/>
        </w:rPr>
      </w:pPr>
      <w:r w:rsidRPr="00E8424F">
        <w:rPr>
          <w:sz w:val="22"/>
          <w:szCs w:val="22"/>
        </w:rPr>
        <w:t>In accordance with UN rules and regulations for official documentation, the common CPD should not exceed a maximum of 8,50</w:t>
      </w:r>
      <w:r w:rsidR="008C6E1D" w:rsidRPr="00E8424F">
        <w:rPr>
          <w:sz w:val="22"/>
          <w:szCs w:val="22"/>
        </w:rPr>
        <w:t>0 words</w:t>
      </w:r>
      <w:r w:rsidR="00C54878" w:rsidRPr="00E8424F">
        <w:rPr>
          <w:rStyle w:val="FootnoteReference"/>
          <w:sz w:val="22"/>
          <w:szCs w:val="22"/>
        </w:rPr>
        <w:footnoteReference w:id="2"/>
      </w:r>
      <w:r w:rsidR="00AE1B35" w:rsidRPr="00E8424F">
        <w:rPr>
          <w:sz w:val="22"/>
          <w:szCs w:val="22"/>
        </w:rPr>
        <w:t>,</w:t>
      </w:r>
      <w:r w:rsidR="008C6E1D" w:rsidRPr="00E8424F">
        <w:rPr>
          <w:sz w:val="22"/>
          <w:szCs w:val="22"/>
        </w:rPr>
        <w:t xml:space="preserve"> inclusive of the </w:t>
      </w:r>
      <w:r w:rsidR="002D262F" w:rsidRPr="00E8424F">
        <w:rPr>
          <w:sz w:val="22"/>
          <w:szCs w:val="22"/>
        </w:rPr>
        <w:t>organisation</w:t>
      </w:r>
      <w:r w:rsidR="00AE1B35" w:rsidRPr="00E8424F">
        <w:rPr>
          <w:sz w:val="22"/>
          <w:szCs w:val="22"/>
        </w:rPr>
        <w:t>-</w:t>
      </w:r>
      <w:r w:rsidR="008C6E1D" w:rsidRPr="00E8424F">
        <w:rPr>
          <w:sz w:val="22"/>
          <w:szCs w:val="22"/>
        </w:rPr>
        <w:t xml:space="preserve">specific </w:t>
      </w:r>
      <w:r w:rsidRPr="00E8424F">
        <w:rPr>
          <w:sz w:val="22"/>
          <w:szCs w:val="22"/>
        </w:rPr>
        <w:t>annexes</w:t>
      </w:r>
      <w:r w:rsidR="008C6E1D" w:rsidRPr="00E8424F">
        <w:rPr>
          <w:sz w:val="22"/>
          <w:szCs w:val="22"/>
        </w:rPr>
        <w:t xml:space="preserve">, </w:t>
      </w:r>
      <w:r w:rsidR="002D262F" w:rsidRPr="00E8424F">
        <w:rPr>
          <w:sz w:val="22"/>
          <w:szCs w:val="22"/>
        </w:rPr>
        <w:t xml:space="preserve">(suggested format would be 4,500 words for </w:t>
      </w:r>
      <w:r w:rsidR="007A258E" w:rsidRPr="00E8424F">
        <w:rPr>
          <w:sz w:val="22"/>
          <w:szCs w:val="22"/>
        </w:rPr>
        <w:t xml:space="preserve">the </w:t>
      </w:r>
      <w:r w:rsidR="002D262F" w:rsidRPr="00E8424F">
        <w:rPr>
          <w:sz w:val="22"/>
          <w:szCs w:val="22"/>
        </w:rPr>
        <w:t>narrative and 1,000 words</w:t>
      </w:r>
      <w:r w:rsidR="005F436B">
        <w:rPr>
          <w:sz w:val="22"/>
          <w:szCs w:val="22"/>
        </w:rPr>
        <w:t xml:space="preserve"> (approximately 2 pages) </w:t>
      </w:r>
      <w:r w:rsidR="002D262F" w:rsidRPr="00E8424F">
        <w:rPr>
          <w:sz w:val="22"/>
          <w:szCs w:val="22"/>
        </w:rPr>
        <w:t xml:space="preserve">for each of the four </w:t>
      </w:r>
      <w:r w:rsidR="003D5C34">
        <w:rPr>
          <w:sz w:val="22"/>
          <w:szCs w:val="22"/>
        </w:rPr>
        <w:t xml:space="preserve">annexed </w:t>
      </w:r>
      <w:r w:rsidR="007A258E" w:rsidRPr="00E8424F">
        <w:rPr>
          <w:sz w:val="22"/>
          <w:szCs w:val="22"/>
        </w:rPr>
        <w:t>results and resources frameworks</w:t>
      </w:r>
      <w:r w:rsidR="002D262F" w:rsidRPr="00E8424F">
        <w:rPr>
          <w:sz w:val="22"/>
          <w:szCs w:val="22"/>
        </w:rPr>
        <w:t>)</w:t>
      </w:r>
      <w:r w:rsidR="008C6E1D" w:rsidRPr="00E8424F">
        <w:rPr>
          <w:sz w:val="22"/>
          <w:szCs w:val="22"/>
        </w:rPr>
        <w:t xml:space="preserve">. </w:t>
      </w:r>
      <w:r w:rsidR="00AF26B4">
        <w:rPr>
          <w:sz w:val="22"/>
          <w:szCs w:val="22"/>
        </w:rPr>
        <w:t xml:space="preserve">Changes to the length and format of the document require the approval of respective </w:t>
      </w:r>
      <w:r w:rsidR="00A75633">
        <w:rPr>
          <w:sz w:val="22"/>
          <w:szCs w:val="22"/>
        </w:rPr>
        <w:t xml:space="preserve">Executive Boards (in in some cases the General Assembly) and are therefore not possible at this time. </w:t>
      </w:r>
      <w:r w:rsidR="00747570">
        <w:rPr>
          <w:sz w:val="22"/>
          <w:szCs w:val="22"/>
        </w:rPr>
        <w:t>I</w:t>
      </w:r>
      <w:r w:rsidR="00A75633">
        <w:rPr>
          <w:sz w:val="22"/>
          <w:szCs w:val="22"/>
        </w:rPr>
        <w:t>t is possible to seek a waiver should the word countexceed 8,500 words, although this practice is strong</w:t>
      </w:r>
      <w:r w:rsidR="003B57D8">
        <w:rPr>
          <w:sz w:val="22"/>
          <w:szCs w:val="22"/>
        </w:rPr>
        <w:t>ly</w:t>
      </w:r>
      <w:r w:rsidR="00A75633">
        <w:rPr>
          <w:sz w:val="22"/>
          <w:szCs w:val="22"/>
        </w:rPr>
        <w:t xml:space="preserve"> discouraged.</w:t>
      </w:r>
    </w:p>
    <w:p w:rsidR="00142D4B" w:rsidRPr="00E8424F" w:rsidRDefault="002D262F" w:rsidP="00D965B5">
      <w:pPr>
        <w:pStyle w:val="ListParagraph"/>
        <w:ind w:left="0"/>
        <w:jc w:val="both"/>
        <w:rPr>
          <w:sz w:val="22"/>
          <w:szCs w:val="22"/>
        </w:rPr>
      </w:pPr>
      <w:r w:rsidRPr="00E8424F">
        <w:rPr>
          <w:sz w:val="22"/>
          <w:szCs w:val="22"/>
        </w:rPr>
        <w:t>T</w:t>
      </w:r>
      <w:r w:rsidR="00004894" w:rsidRPr="00E8424F">
        <w:rPr>
          <w:sz w:val="22"/>
          <w:szCs w:val="22"/>
        </w:rPr>
        <w:t xml:space="preserve">he </w:t>
      </w:r>
      <w:r w:rsidR="00473F97" w:rsidRPr="00E8424F">
        <w:rPr>
          <w:sz w:val="22"/>
          <w:szCs w:val="22"/>
        </w:rPr>
        <w:t xml:space="preserve">common country programme document </w:t>
      </w:r>
      <w:r w:rsidR="00142D4B" w:rsidRPr="00E8424F">
        <w:rPr>
          <w:sz w:val="22"/>
          <w:szCs w:val="22"/>
        </w:rPr>
        <w:t>includes</w:t>
      </w:r>
      <w:r w:rsidR="000B6511" w:rsidRPr="00E8424F">
        <w:rPr>
          <w:sz w:val="22"/>
          <w:szCs w:val="22"/>
        </w:rPr>
        <w:t xml:space="preserve">a cover page and then </w:t>
      </w:r>
      <w:r w:rsidR="008C6E1D" w:rsidRPr="00E8424F">
        <w:rPr>
          <w:sz w:val="22"/>
          <w:szCs w:val="22"/>
        </w:rPr>
        <w:t>the following</w:t>
      </w:r>
      <w:r w:rsidR="004B4732">
        <w:rPr>
          <w:sz w:val="22"/>
          <w:szCs w:val="22"/>
        </w:rPr>
        <w:t xml:space="preserve">four </w:t>
      </w:r>
      <w:r w:rsidRPr="00E8424F">
        <w:rPr>
          <w:sz w:val="22"/>
          <w:szCs w:val="22"/>
        </w:rPr>
        <w:t>headings</w:t>
      </w:r>
      <w:bookmarkStart w:id="0" w:name="_GoBack"/>
      <w:bookmarkEnd w:id="0"/>
      <w:r w:rsidR="004B4732">
        <w:rPr>
          <w:sz w:val="22"/>
          <w:szCs w:val="22"/>
        </w:rPr>
        <w:t>for the common narrative</w:t>
      </w:r>
      <w:r w:rsidR="00142D4B" w:rsidRPr="00E8424F">
        <w:rPr>
          <w:sz w:val="22"/>
          <w:szCs w:val="22"/>
        </w:rPr>
        <w:t>:</w:t>
      </w:r>
    </w:p>
    <w:p w:rsidR="00142D4B" w:rsidRPr="00E8424F" w:rsidRDefault="00142D4B" w:rsidP="00E8424F">
      <w:pPr>
        <w:pStyle w:val="ListParagraph"/>
        <w:numPr>
          <w:ilvl w:val="0"/>
          <w:numId w:val="2"/>
        </w:numPr>
        <w:tabs>
          <w:tab w:val="num" w:pos="720"/>
        </w:tabs>
        <w:jc w:val="both"/>
        <w:rPr>
          <w:sz w:val="22"/>
          <w:szCs w:val="22"/>
        </w:rPr>
      </w:pPr>
      <w:r w:rsidRPr="00E8424F">
        <w:rPr>
          <w:sz w:val="22"/>
          <w:szCs w:val="22"/>
        </w:rPr>
        <w:t>Situation analysis</w:t>
      </w:r>
    </w:p>
    <w:p w:rsidR="00142D4B" w:rsidRPr="00E8424F" w:rsidRDefault="00142D4B" w:rsidP="00E8424F">
      <w:pPr>
        <w:pStyle w:val="ListParagraph"/>
        <w:numPr>
          <w:ilvl w:val="0"/>
          <w:numId w:val="2"/>
        </w:numPr>
        <w:tabs>
          <w:tab w:val="num" w:pos="720"/>
        </w:tabs>
        <w:jc w:val="both"/>
        <w:rPr>
          <w:sz w:val="22"/>
          <w:szCs w:val="22"/>
        </w:rPr>
      </w:pPr>
      <w:r w:rsidRPr="00E8424F">
        <w:rPr>
          <w:sz w:val="22"/>
          <w:szCs w:val="22"/>
        </w:rPr>
        <w:t>Past cooperation and lessons learned</w:t>
      </w:r>
    </w:p>
    <w:p w:rsidR="00142D4B" w:rsidRPr="00E8424F" w:rsidRDefault="00142D4B" w:rsidP="00E8424F">
      <w:pPr>
        <w:pStyle w:val="ListParagraph"/>
        <w:numPr>
          <w:ilvl w:val="0"/>
          <w:numId w:val="2"/>
        </w:numPr>
        <w:tabs>
          <w:tab w:val="num" w:pos="720"/>
        </w:tabs>
        <w:jc w:val="both"/>
        <w:rPr>
          <w:sz w:val="22"/>
          <w:szCs w:val="22"/>
        </w:rPr>
      </w:pPr>
      <w:r w:rsidRPr="00E8424F">
        <w:rPr>
          <w:sz w:val="22"/>
          <w:szCs w:val="22"/>
        </w:rPr>
        <w:t>Proposed programme</w:t>
      </w:r>
    </w:p>
    <w:p w:rsidR="00142D4B" w:rsidRPr="00E8424F" w:rsidRDefault="00142D4B" w:rsidP="00E8424F">
      <w:pPr>
        <w:pStyle w:val="ListParagraph"/>
        <w:numPr>
          <w:ilvl w:val="0"/>
          <w:numId w:val="2"/>
        </w:numPr>
        <w:tabs>
          <w:tab w:val="num" w:pos="720"/>
        </w:tabs>
        <w:jc w:val="both"/>
        <w:rPr>
          <w:sz w:val="22"/>
          <w:szCs w:val="22"/>
        </w:rPr>
      </w:pPr>
      <w:r w:rsidRPr="00E8424F">
        <w:rPr>
          <w:sz w:val="22"/>
          <w:szCs w:val="22"/>
        </w:rPr>
        <w:t>Programme management, monitoring and evaluation</w:t>
      </w:r>
    </w:p>
    <w:p w:rsidR="002D262F" w:rsidRPr="00E8424F" w:rsidRDefault="000B6511" w:rsidP="00E8424F">
      <w:pPr>
        <w:pStyle w:val="ListParagraph"/>
        <w:tabs>
          <w:tab w:val="num" w:pos="720"/>
        </w:tabs>
        <w:spacing w:after="120"/>
        <w:ind w:left="0"/>
        <w:jc w:val="both"/>
        <w:rPr>
          <w:sz w:val="22"/>
          <w:szCs w:val="22"/>
        </w:rPr>
      </w:pPr>
      <w:r w:rsidRPr="00E8424F">
        <w:rPr>
          <w:sz w:val="22"/>
          <w:szCs w:val="22"/>
        </w:rPr>
        <w:t>Annex</w:t>
      </w:r>
      <w:r w:rsidR="00473F97" w:rsidRPr="00E8424F">
        <w:rPr>
          <w:sz w:val="22"/>
          <w:szCs w:val="22"/>
        </w:rPr>
        <w:t>es</w:t>
      </w:r>
      <w:r w:rsidRPr="00E8424F">
        <w:rPr>
          <w:sz w:val="22"/>
          <w:szCs w:val="22"/>
        </w:rPr>
        <w:t>: Results and resources framework</w:t>
      </w:r>
      <w:r w:rsidR="00A81EDC">
        <w:rPr>
          <w:sz w:val="22"/>
          <w:szCs w:val="22"/>
        </w:rPr>
        <w:t xml:space="preserve"> (for each organisation)</w:t>
      </w:r>
    </w:p>
    <w:p w:rsidR="00A81EDC" w:rsidRDefault="00A81EDC" w:rsidP="00E8424F">
      <w:pPr>
        <w:pStyle w:val="ListParagraph"/>
        <w:tabs>
          <w:tab w:val="num" w:pos="720"/>
        </w:tabs>
        <w:spacing w:after="120"/>
        <w:ind w:left="0"/>
        <w:jc w:val="both"/>
        <w:rPr>
          <w:sz w:val="22"/>
          <w:szCs w:val="22"/>
        </w:rPr>
      </w:pPr>
      <w:r>
        <w:rPr>
          <w:sz w:val="22"/>
          <w:szCs w:val="22"/>
        </w:rPr>
        <w:t xml:space="preserve">It is important </w:t>
      </w:r>
      <w:r w:rsidRPr="004B4732">
        <w:rPr>
          <w:sz w:val="22"/>
          <w:szCs w:val="22"/>
        </w:rPr>
        <w:t>that the all sections of the document underscore the coherent and coordinated approach that is adopted in the country.</w:t>
      </w:r>
      <w:r w:rsidR="004B4732">
        <w:rPr>
          <w:sz w:val="22"/>
          <w:szCs w:val="22"/>
        </w:rPr>
        <w:t xml:space="preserve"> Specifically, </w:t>
      </w:r>
      <w:r w:rsidR="004B4732" w:rsidRPr="004B4732">
        <w:rPr>
          <w:sz w:val="22"/>
          <w:szCs w:val="22"/>
          <w:lang w:val="en-US"/>
        </w:rPr>
        <w:t xml:space="preserve">Section III </w:t>
      </w:r>
      <w:r w:rsidR="004B4732">
        <w:rPr>
          <w:sz w:val="22"/>
          <w:szCs w:val="22"/>
          <w:lang w:val="en-US"/>
        </w:rPr>
        <w:t xml:space="preserve">should </w:t>
      </w:r>
      <w:r w:rsidR="004B4732" w:rsidRPr="004B4732">
        <w:rPr>
          <w:sz w:val="22"/>
          <w:szCs w:val="22"/>
          <w:lang w:val="en-US"/>
        </w:rPr>
        <w:t>include</w:t>
      </w:r>
      <w:r w:rsidR="004B4732">
        <w:rPr>
          <w:sz w:val="22"/>
          <w:szCs w:val="22"/>
          <w:lang w:val="en-US"/>
        </w:rPr>
        <w:t xml:space="preserve"> the </w:t>
      </w:r>
      <w:r w:rsidR="004B4732" w:rsidRPr="004B4732">
        <w:rPr>
          <w:sz w:val="22"/>
          <w:szCs w:val="22"/>
        </w:rPr>
        <w:t>critical actions that will be taken to achieve the agreed results and section IV</w:t>
      </w:r>
      <w:r w:rsidR="004B4732">
        <w:rPr>
          <w:sz w:val="22"/>
          <w:szCs w:val="22"/>
        </w:rPr>
        <w:t xml:space="preserve"> should include </w:t>
      </w:r>
      <w:r w:rsidR="004B4732" w:rsidRPr="004B4732">
        <w:rPr>
          <w:sz w:val="22"/>
          <w:szCs w:val="22"/>
          <w:lang w:val="en-US"/>
        </w:rPr>
        <w:t>a description of actions to be taken to ensure coherence of assistance of the UN system at the country level</w:t>
      </w:r>
      <w:r w:rsidR="004B4732">
        <w:rPr>
          <w:sz w:val="22"/>
          <w:szCs w:val="22"/>
          <w:lang w:val="en-US"/>
        </w:rPr>
        <w:t xml:space="preserve">. </w:t>
      </w:r>
      <w:r w:rsidR="00B32E0C">
        <w:rPr>
          <w:sz w:val="22"/>
          <w:szCs w:val="22"/>
        </w:rPr>
        <w:t>Organization-</w:t>
      </w:r>
      <w:r w:rsidRPr="004B4732">
        <w:rPr>
          <w:sz w:val="22"/>
          <w:szCs w:val="22"/>
        </w:rPr>
        <w:t>specific references should be reflected in the relevant annexes.</w:t>
      </w:r>
    </w:p>
    <w:p w:rsidR="00A81EDC" w:rsidRDefault="002D262F" w:rsidP="00A81EDC">
      <w:pPr>
        <w:pStyle w:val="ListParagraph"/>
        <w:tabs>
          <w:tab w:val="num" w:pos="720"/>
        </w:tabs>
        <w:spacing w:after="120"/>
        <w:ind w:left="0"/>
        <w:jc w:val="both"/>
        <w:rPr>
          <w:sz w:val="22"/>
          <w:szCs w:val="22"/>
        </w:rPr>
      </w:pPr>
      <w:r w:rsidRPr="00E8424F">
        <w:rPr>
          <w:sz w:val="22"/>
          <w:szCs w:val="22"/>
        </w:rPr>
        <w:t>Theorganisation</w:t>
      </w:r>
      <w:r w:rsidR="004616BD" w:rsidRPr="00E8424F">
        <w:rPr>
          <w:sz w:val="22"/>
          <w:szCs w:val="22"/>
        </w:rPr>
        <w:t>-</w:t>
      </w:r>
      <w:r w:rsidR="00142D4B" w:rsidRPr="00E8424F">
        <w:rPr>
          <w:sz w:val="22"/>
          <w:szCs w:val="22"/>
        </w:rPr>
        <w:t>specific</w:t>
      </w:r>
      <w:r w:rsidRPr="00E8424F">
        <w:rPr>
          <w:sz w:val="22"/>
          <w:szCs w:val="22"/>
        </w:rPr>
        <w:t xml:space="preserve"> annex (</w:t>
      </w:r>
      <w:r w:rsidR="00A81EDC">
        <w:rPr>
          <w:sz w:val="22"/>
          <w:szCs w:val="22"/>
        </w:rPr>
        <w:t xml:space="preserve">usually </w:t>
      </w:r>
      <w:r w:rsidRPr="00E8424F">
        <w:rPr>
          <w:sz w:val="22"/>
          <w:szCs w:val="22"/>
        </w:rPr>
        <w:t xml:space="preserve">one </w:t>
      </w:r>
      <w:r w:rsidR="00DA1BFE" w:rsidRPr="00E8424F">
        <w:rPr>
          <w:sz w:val="22"/>
          <w:szCs w:val="22"/>
        </w:rPr>
        <w:t xml:space="preserve">each </w:t>
      </w:r>
      <w:r w:rsidRPr="00E8424F">
        <w:rPr>
          <w:sz w:val="22"/>
          <w:szCs w:val="22"/>
        </w:rPr>
        <w:t>for UNDP, UNFPA, UNICEF, WFP i</w:t>
      </w:r>
      <w:r w:rsidR="00F624C6" w:rsidRPr="00E8424F">
        <w:rPr>
          <w:sz w:val="22"/>
          <w:szCs w:val="22"/>
        </w:rPr>
        <w:t xml:space="preserve">f they are each </w:t>
      </w:r>
      <w:r w:rsidRPr="00E8424F">
        <w:rPr>
          <w:sz w:val="22"/>
          <w:szCs w:val="22"/>
        </w:rPr>
        <w:t xml:space="preserve">providing assistance to the country) </w:t>
      </w:r>
      <w:r w:rsidR="004616BD" w:rsidRPr="00E8424F">
        <w:rPr>
          <w:sz w:val="22"/>
          <w:szCs w:val="22"/>
        </w:rPr>
        <w:t>is an integral part of the common CPD</w:t>
      </w:r>
      <w:r w:rsidR="00A81EDC">
        <w:rPr>
          <w:sz w:val="22"/>
          <w:szCs w:val="22"/>
        </w:rPr>
        <w:t xml:space="preserve">, and should follow the current </w:t>
      </w:r>
      <w:r w:rsidR="00F624C6" w:rsidRPr="00E8424F">
        <w:rPr>
          <w:sz w:val="22"/>
          <w:szCs w:val="22"/>
        </w:rPr>
        <w:t>organisation</w:t>
      </w:r>
      <w:r w:rsidR="00142D4B" w:rsidRPr="00E8424F">
        <w:rPr>
          <w:sz w:val="22"/>
          <w:szCs w:val="22"/>
        </w:rPr>
        <w:t>-specific standards</w:t>
      </w:r>
      <w:r w:rsidR="00C50C6F" w:rsidRPr="00E8424F">
        <w:rPr>
          <w:sz w:val="22"/>
          <w:szCs w:val="22"/>
        </w:rPr>
        <w:t>. O</w:t>
      </w:r>
      <w:r w:rsidR="00556D56">
        <w:rPr>
          <w:sz w:val="22"/>
          <w:szCs w:val="22"/>
        </w:rPr>
        <w:t>r</w:t>
      </w:r>
      <w:r w:rsidRPr="00E8424F">
        <w:rPr>
          <w:sz w:val="22"/>
          <w:szCs w:val="22"/>
        </w:rPr>
        <w:t xml:space="preserve">ganisations </w:t>
      </w:r>
      <w:r w:rsidR="00D02C6B" w:rsidRPr="00E8424F">
        <w:rPr>
          <w:sz w:val="22"/>
          <w:szCs w:val="22"/>
        </w:rPr>
        <w:t xml:space="preserve">are </w:t>
      </w:r>
      <w:r w:rsidR="00F53E98" w:rsidRPr="00E8424F">
        <w:rPr>
          <w:sz w:val="22"/>
          <w:szCs w:val="22"/>
        </w:rPr>
        <w:t xml:space="preserve">being </w:t>
      </w:r>
      <w:r w:rsidRPr="00E8424F">
        <w:rPr>
          <w:sz w:val="22"/>
          <w:szCs w:val="22"/>
        </w:rPr>
        <w:t>encouraged to harmonize the formats to the extent possible.</w:t>
      </w:r>
    </w:p>
    <w:p w:rsidR="00E45573" w:rsidRPr="00E45573" w:rsidRDefault="00473F97" w:rsidP="00A81EDC">
      <w:pPr>
        <w:pStyle w:val="ListParagraph"/>
        <w:tabs>
          <w:tab w:val="num" w:pos="720"/>
        </w:tabs>
        <w:spacing w:after="120"/>
        <w:ind w:left="0"/>
        <w:jc w:val="both"/>
        <w:rPr>
          <w:sz w:val="22"/>
          <w:szCs w:val="22"/>
        </w:rPr>
      </w:pPr>
      <w:r w:rsidRPr="00E45573">
        <w:rPr>
          <w:sz w:val="22"/>
          <w:szCs w:val="22"/>
        </w:rPr>
        <w:t>E</w:t>
      </w:r>
      <w:r w:rsidR="00142D4B" w:rsidRPr="00E45573">
        <w:rPr>
          <w:sz w:val="22"/>
          <w:szCs w:val="22"/>
        </w:rPr>
        <w:t xml:space="preserve">ach </w:t>
      </w:r>
      <w:r w:rsidRPr="00E45573">
        <w:rPr>
          <w:sz w:val="22"/>
          <w:szCs w:val="22"/>
        </w:rPr>
        <w:t xml:space="preserve">organisation </w:t>
      </w:r>
      <w:r w:rsidR="00142D4B" w:rsidRPr="00E45573">
        <w:rPr>
          <w:sz w:val="22"/>
          <w:szCs w:val="22"/>
        </w:rPr>
        <w:t>may</w:t>
      </w:r>
      <w:r w:rsidR="00962C43" w:rsidRPr="00E45573">
        <w:rPr>
          <w:sz w:val="22"/>
          <w:szCs w:val="22"/>
        </w:rPr>
        <w:t xml:space="preserve"> provide additional complementary information </w:t>
      </w:r>
      <w:r w:rsidR="00B32F70">
        <w:rPr>
          <w:sz w:val="22"/>
          <w:szCs w:val="22"/>
        </w:rPr>
        <w:t xml:space="preserve">as may be required by the respective </w:t>
      </w:r>
      <w:r w:rsidR="00962C43" w:rsidRPr="00E45573">
        <w:rPr>
          <w:sz w:val="22"/>
          <w:szCs w:val="22"/>
        </w:rPr>
        <w:t>Executive Board (such as by posting additional documents on relevant Executive Board website)</w:t>
      </w:r>
      <w:r w:rsidR="00962C43" w:rsidRPr="00E45573">
        <w:rPr>
          <w:sz w:val="22"/>
          <w:szCs w:val="24"/>
        </w:rPr>
        <w:t>.</w:t>
      </w:r>
      <w:r w:rsidR="00E45573">
        <w:rPr>
          <w:sz w:val="22"/>
          <w:szCs w:val="24"/>
        </w:rPr>
        <w:t xml:space="preserve">For example, organizations may post the </w:t>
      </w:r>
      <w:r w:rsidR="00E45573" w:rsidRPr="00E45573">
        <w:rPr>
          <w:sz w:val="22"/>
          <w:szCs w:val="22"/>
        </w:rPr>
        <w:t xml:space="preserve">UNDAF results matrix on the </w:t>
      </w:r>
      <w:r w:rsidR="00E45573">
        <w:rPr>
          <w:sz w:val="22"/>
          <w:szCs w:val="22"/>
        </w:rPr>
        <w:t xml:space="preserve">website of each organisation </w:t>
      </w:r>
      <w:r w:rsidR="00E45573" w:rsidRPr="00E45573">
        <w:rPr>
          <w:sz w:val="22"/>
          <w:szCs w:val="22"/>
        </w:rPr>
        <w:t xml:space="preserve">to enable Board Members to review the coherence between the UNDAF and </w:t>
      </w:r>
      <w:r w:rsidR="00E45573">
        <w:rPr>
          <w:sz w:val="22"/>
          <w:szCs w:val="22"/>
        </w:rPr>
        <w:t>the organisation-</w:t>
      </w:r>
      <w:r w:rsidR="00E45573" w:rsidRPr="00E45573">
        <w:rPr>
          <w:sz w:val="22"/>
          <w:szCs w:val="22"/>
        </w:rPr>
        <w:t>specific results matrices that are included as annexes to the common CPD.</w:t>
      </w:r>
    </w:p>
    <w:p w:rsidR="00142D4B" w:rsidRPr="00E8424F" w:rsidRDefault="00142D4B" w:rsidP="00D965B5">
      <w:pPr>
        <w:pStyle w:val="BodyA"/>
        <w:rPr>
          <w:rFonts w:ascii="Times New Roman" w:hAnsi="Times New Roman"/>
          <w:sz w:val="22"/>
          <w:szCs w:val="22"/>
        </w:rPr>
      </w:pPr>
    </w:p>
    <w:p w:rsidR="00142D4B" w:rsidRPr="00E8424F" w:rsidRDefault="00142D4B" w:rsidP="00E8424F">
      <w:pPr>
        <w:pStyle w:val="BodyA"/>
        <w:numPr>
          <w:ilvl w:val="0"/>
          <w:numId w:val="3"/>
        </w:numPr>
        <w:spacing w:after="120"/>
        <w:rPr>
          <w:rFonts w:ascii="Times New Roman" w:hAnsi="Times New Roman"/>
          <w:b/>
          <w:sz w:val="22"/>
          <w:szCs w:val="22"/>
        </w:rPr>
      </w:pPr>
      <w:r w:rsidRPr="00E8424F">
        <w:rPr>
          <w:rFonts w:ascii="Times New Roman" w:hAnsi="Times New Roman"/>
          <w:b/>
          <w:sz w:val="22"/>
          <w:szCs w:val="22"/>
        </w:rPr>
        <w:t>Quality assurance review</w:t>
      </w:r>
    </w:p>
    <w:p w:rsidR="00142D4B" w:rsidRPr="00E8424F" w:rsidRDefault="00D86A37" w:rsidP="00D965B5">
      <w:pPr>
        <w:pStyle w:val="BodyA"/>
        <w:jc w:val="both"/>
        <w:rPr>
          <w:rFonts w:ascii="Times New Roman" w:hAnsi="Times New Roman"/>
          <w:sz w:val="22"/>
          <w:szCs w:val="22"/>
        </w:rPr>
      </w:pPr>
      <w:r w:rsidRPr="00E8424F">
        <w:rPr>
          <w:rFonts w:ascii="Times New Roman" w:hAnsi="Times New Roman"/>
          <w:sz w:val="22"/>
          <w:szCs w:val="22"/>
        </w:rPr>
        <w:t xml:space="preserve">The quality assurance process for the </w:t>
      </w:r>
      <w:r w:rsidR="008828BD" w:rsidRPr="00E8424F">
        <w:rPr>
          <w:rFonts w:ascii="Times New Roman" w:hAnsi="Times New Roman"/>
          <w:sz w:val="22"/>
          <w:szCs w:val="22"/>
        </w:rPr>
        <w:t>common CPD</w:t>
      </w:r>
      <w:r w:rsidR="00CE638B">
        <w:rPr>
          <w:rFonts w:ascii="Times New Roman" w:hAnsi="Times New Roman"/>
          <w:sz w:val="22"/>
          <w:szCs w:val="22"/>
        </w:rPr>
        <w:t xml:space="preserve"> (narrative and annexes)</w:t>
      </w:r>
      <w:r w:rsidRPr="00E8424F">
        <w:rPr>
          <w:rFonts w:ascii="Times New Roman" w:hAnsi="Times New Roman"/>
          <w:sz w:val="22"/>
          <w:szCs w:val="22"/>
        </w:rPr>
        <w:t xml:space="preserve">will continue to follow the same process as with CPDs, with the involvement of the regional and headquarters as per standard practice. Organisations are encouraged to </w:t>
      </w:r>
      <w:r w:rsidR="00927AF7" w:rsidRPr="00E8424F">
        <w:rPr>
          <w:rFonts w:ascii="Times New Roman" w:hAnsi="Times New Roman"/>
          <w:sz w:val="22"/>
          <w:szCs w:val="22"/>
        </w:rPr>
        <w:t>ensure tha</w:t>
      </w:r>
      <w:r w:rsidR="00556D56">
        <w:rPr>
          <w:rFonts w:ascii="Times New Roman" w:hAnsi="Times New Roman"/>
          <w:sz w:val="22"/>
          <w:szCs w:val="22"/>
        </w:rPr>
        <w:t>t consistent feedback (between o</w:t>
      </w:r>
      <w:r w:rsidR="00927AF7" w:rsidRPr="00E8424F">
        <w:rPr>
          <w:rFonts w:ascii="Times New Roman" w:hAnsi="Times New Roman"/>
          <w:sz w:val="22"/>
          <w:szCs w:val="22"/>
        </w:rPr>
        <w:t xml:space="preserve">rganisations and </w:t>
      </w:r>
      <w:r w:rsidR="00556D56">
        <w:rPr>
          <w:rFonts w:ascii="Times New Roman" w:hAnsi="Times New Roman"/>
          <w:sz w:val="22"/>
          <w:szCs w:val="22"/>
        </w:rPr>
        <w:t xml:space="preserve">also </w:t>
      </w:r>
      <w:r w:rsidR="00927AF7" w:rsidRPr="00E8424F">
        <w:rPr>
          <w:rFonts w:ascii="Times New Roman" w:hAnsi="Times New Roman"/>
          <w:sz w:val="22"/>
          <w:szCs w:val="22"/>
        </w:rPr>
        <w:t xml:space="preserve">between the </w:t>
      </w:r>
      <w:r w:rsidR="00B32E0C">
        <w:rPr>
          <w:rFonts w:ascii="Times New Roman" w:hAnsi="Times New Roman"/>
          <w:sz w:val="22"/>
          <w:szCs w:val="22"/>
        </w:rPr>
        <w:t xml:space="preserve">various </w:t>
      </w:r>
      <w:r w:rsidR="00927AF7" w:rsidRPr="00E8424F">
        <w:rPr>
          <w:rFonts w:ascii="Times New Roman" w:hAnsi="Times New Roman"/>
          <w:sz w:val="22"/>
          <w:szCs w:val="22"/>
        </w:rPr>
        <w:t xml:space="preserve">levels of the same </w:t>
      </w:r>
      <w:r w:rsidR="00556D56">
        <w:rPr>
          <w:rFonts w:ascii="Times New Roman" w:hAnsi="Times New Roman"/>
          <w:sz w:val="22"/>
          <w:szCs w:val="22"/>
        </w:rPr>
        <w:t>o</w:t>
      </w:r>
      <w:r w:rsidR="00B32E0C">
        <w:rPr>
          <w:rFonts w:ascii="Times New Roman" w:hAnsi="Times New Roman"/>
          <w:sz w:val="22"/>
          <w:szCs w:val="22"/>
        </w:rPr>
        <w:t>rganisation) is provided on the common narrative. Each agency is solely responsible for the development and review of their respective annex.</w:t>
      </w:r>
    </w:p>
    <w:p w:rsidR="00142D4B" w:rsidRPr="00E8424F" w:rsidRDefault="00142D4B" w:rsidP="00D965B5">
      <w:pPr>
        <w:pStyle w:val="BodyA"/>
        <w:rPr>
          <w:rFonts w:ascii="Times New Roman" w:hAnsi="Times New Roman"/>
          <w:sz w:val="22"/>
          <w:szCs w:val="22"/>
        </w:rPr>
      </w:pPr>
    </w:p>
    <w:p w:rsidR="00142D4B" w:rsidRPr="00E8424F" w:rsidRDefault="00142D4B" w:rsidP="00E8424F">
      <w:pPr>
        <w:pStyle w:val="BodyA"/>
        <w:numPr>
          <w:ilvl w:val="0"/>
          <w:numId w:val="3"/>
        </w:numPr>
        <w:spacing w:after="120"/>
        <w:rPr>
          <w:rFonts w:ascii="Times New Roman" w:hAnsi="Times New Roman"/>
          <w:b/>
          <w:sz w:val="22"/>
          <w:szCs w:val="22"/>
        </w:rPr>
      </w:pPr>
      <w:r w:rsidRPr="00E8424F">
        <w:rPr>
          <w:rFonts w:ascii="Times New Roman" w:hAnsi="Times New Roman"/>
          <w:b/>
          <w:sz w:val="22"/>
          <w:szCs w:val="22"/>
        </w:rPr>
        <w:t>Clearance and deadlines</w:t>
      </w:r>
    </w:p>
    <w:p w:rsidR="00142D4B" w:rsidRPr="00E8424F" w:rsidRDefault="003B7EB3" w:rsidP="00484C26">
      <w:pPr>
        <w:pStyle w:val="BodyA"/>
        <w:jc w:val="both"/>
        <w:rPr>
          <w:rFonts w:ascii="Times New Roman" w:hAnsi="Times New Roman"/>
          <w:sz w:val="22"/>
          <w:szCs w:val="22"/>
        </w:rPr>
      </w:pPr>
      <w:r w:rsidRPr="00E8424F">
        <w:rPr>
          <w:rFonts w:ascii="Times New Roman" w:hAnsi="Times New Roman"/>
          <w:sz w:val="22"/>
          <w:szCs w:val="22"/>
        </w:rPr>
        <w:t>Following the development of the UNDAF, the common CPD is drafted in time to meet the deadline of the relevant session of the Executive Boards.</w:t>
      </w:r>
      <w:r w:rsidR="00484C26" w:rsidRPr="00E8424F">
        <w:rPr>
          <w:rFonts w:ascii="Times New Roman" w:hAnsi="Times New Roman"/>
          <w:sz w:val="22"/>
          <w:szCs w:val="22"/>
        </w:rPr>
        <w:t xml:space="preserve">  P</w:t>
      </w:r>
      <w:r w:rsidR="00142D4B" w:rsidRPr="00E8424F">
        <w:rPr>
          <w:rFonts w:ascii="Times New Roman" w:hAnsi="Times New Roman"/>
          <w:sz w:val="22"/>
          <w:szCs w:val="22"/>
        </w:rPr>
        <w:t>articipating members should therefore check with their relevant organizatio</w:t>
      </w:r>
      <w:r w:rsidR="00484C26" w:rsidRPr="00E8424F">
        <w:rPr>
          <w:rFonts w:ascii="Times New Roman" w:hAnsi="Times New Roman"/>
          <w:sz w:val="22"/>
          <w:szCs w:val="22"/>
        </w:rPr>
        <w:t>nal head</w:t>
      </w:r>
      <w:r w:rsidR="00444E69" w:rsidRPr="00E8424F">
        <w:rPr>
          <w:rFonts w:ascii="Times New Roman" w:hAnsi="Times New Roman"/>
          <w:sz w:val="22"/>
          <w:szCs w:val="22"/>
        </w:rPr>
        <w:t xml:space="preserve">quarters for specific deadlines, and submit the approved document </w:t>
      </w:r>
      <w:r w:rsidR="00CE638B">
        <w:rPr>
          <w:rFonts w:ascii="Times New Roman" w:hAnsi="Times New Roman"/>
          <w:sz w:val="22"/>
          <w:szCs w:val="22"/>
        </w:rPr>
        <w:t xml:space="preserve">by the </w:t>
      </w:r>
      <w:r w:rsidR="00444E69" w:rsidRPr="00E8424F">
        <w:rPr>
          <w:rFonts w:ascii="Times New Roman" w:hAnsi="Times New Roman"/>
          <w:sz w:val="22"/>
          <w:szCs w:val="22"/>
        </w:rPr>
        <w:t>earliest deadline (i.e. the organization with the earliest date).</w:t>
      </w:r>
    </w:p>
    <w:p w:rsidR="00142D4B" w:rsidRPr="00E8424F" w:rsidRDefault="00142D4B" w:rsidP="00D965B5">
      <w:pPr>
        <w:pStyle w:val="ListParagraph"/>
        <w:rPr>
          <w:sz w:val="22"/>
          <w:szCs w:val="22"/>
        </w:rPr>
      </w:pPr>
    </w:p>
    <w:p w:rsidR="00142D4B" w:rsidRPr="00E8424F" w:rsidRDefault="00142D4B" w:rsidP="00E8424F">
      <w:pPr>
        <w:pStyle w:val="ListParagraph"/>
        <w:numPr>
          <w:ilvl w:val="0"/>
          <w:numId w:val="3"/>
        </w:numPr>
        <w:spacing w:after="120"/>
        <w:jc w:val="both"/>
        <w:rPr>
          <w:b/>
          <w:sz w:val="22"/>
          <w:szCs w:val="22"/>
        </w:rPr>
      </w:pPr>
      <w:r w:rsidRPr="00E8424F">
        <w:rPr>
          <w:b/>
          <w:sz w:val="22"/>
          <w:szCs w:val="22"/>
        </w:rPr>
        <w:t>Editing and translation</w:t>
      </w:r>
    </w:p>
    <w:p w:rsidR="00142D4B" w:rsidRPr="00E8424F" w:rsidRDefault="00142D4B" w:rsidP="00D965B5">
      <w:pPr>
        <w:pStyle w:val="ListParagraph"/>
        <w:ind w:left="0"/>
        <w:jc w:val="both"/>
        <w:rPr>
          <w:sz w:val="22"/>
          <w:szCs w:val="22"/>
        </w:rPr>
      </w:pPr>
      <w:r w:rsidRPr="00E8424F">
        <w:rPr>
          <w:sz w:val="22"/>
          <w:szCs w:val="22"/>
        </w:rPr>
        <w:t xml:space="preserve">To ensure consistency, the secretariats of the Executive Boards will agree on a coordinated editing and translation of the common country programme document. </w:t>
      </w:r>
    </w:p>
    <w:p w:rsidR="00142D4B" w:rsidRPr="00E8424F" w:rsidRDefault="00142D4B" w:rsidP="00D965B5">
      <w:pPr>
        <w:pStyle w:val="ListParagraph"/>
        <w:ind w:left="0"/>
        <w:jc w:val="both"/>
        <w:rPr>
          <w:sz w:val="22"/>
          <w:szCs w:val="22"/>
        </w:rPr>
      </w:pPr>
    </w:p>
    <w:p w:rsidR="00142D4B" w:rsidRPr="00E8424F" w:rsidRDefault="00142D4B" w:rsidP="00E8424F">
      <w:pPr>
        <w:pStyle w:val="ListParagraph"/>
        <w:numPr>
          <w:ilvl w:val="0"/>
          <w:numId w:val="3"/>
        </w:numPr>
        <w:spacing w:after="120"/>
        <w:jc w:val="both"/>
        <w:rPr>
          <w:b/>
          <w:sz w:val="22"/>
          <w:szCs w:val="22"/>
        </w:rPr>
      </w:pPr>
      <w:r w:rsidRPr="00E8424F">
        <w:rPr>
          <w:b/>
          <w:sz w:val="22"/>
          <w:szCs w:val="22"/>
        </w:rPr>
        <w:t>Approval of the common CPD</w:t>
      </w:r>
    </w:p>
    <w:p w:rsidR="00142D4B" w:rsidRPr="00D965B5" w:rsidRDefault="00142D4B" w:rsidP="00E8424F">
      <w:pPr>
        <w:pStyle w:val="ListParagraph"/>
        <w:ind w:left="0"/>
        <w:rPr>
          <w:rFonts w:eastAsia="Times New Roman"/>
          <w:color w:val="auto"/>
          <w:szCs w:val="24"/>
        </w:rPr>
      </w:pPr>
      <w:r w:rsidRPr="00E8424F">
        <w:rPr>
          <w:sz w:val="22"/>
          <w:szCs w:val="22"/>
        </w:rPr>
        <w:t>The Executive Board approval process for common CPDs follows cu</w:t>
      </w:r>
      <w:r w:rsidR="00F53E98" w:rsidRPr="00E8424F">
        <w:rPr>
          <w:sz w:val="22"/>
          <w:szCs w:val="22"/>
        </w:rPr>
        <w:t xml:space="preserve">rrent practice </w:t>
      </w:r>
      <w:r w:rsidR="00785E07" w:rsidRPr="00E8424F">
        <w:rPr>
          <w:sz w:val="22"/>
          <w:szCs w:val="22"/>
        </w:rPr>
        <w:t>of the respective Executive Board</w:t>
      </w:r>
      <w:r w:rsidR="00F00CD0" w:rsidRPr="00E8424F">
        <w:rPr>
          <w:sz w:val="22"/>
          <w:szCs w:val="22"/>
        </w:rPr>
        <w:t>s</w:t>
      </w:r>
      <w:r w:rsidR="00CE638B">
        <w:rPr>
          <w:sz w:val="22"/>
          <w:szCs w:val="22"/>
        </w:rPr>
        <w:t>. Although the Executive Boards will be specifically approving the respective annex, the full common CPD is submitted.</w:t>
      </w:r>
    </w:p>
    <w:sectPr w:rsidR="00142D4B" w:rsidRPr="00D965B5" w:rsidSect="00E8424F">
      <w:headerReference w:type="even" r:id="rId10"/>
      <w:headerReference w:type="default" r:id="rId11"/>
      <w:footerReference w:type="even" r:id="rId12"/>
      <w:footerReference w:type="default" r:id="rId13"/>
      <w:pgSz w:w="12240" w:h="15840"/>
      <w:pgMar w:top="1440" w:right="1350" w:bottom="1440" w:left="126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6E0" w:rsidRDefault="001E26E0">
      <w:pPr>
        <w:spacing w:after="0" w:line="240" w:lineRule="auto"/>
      </w:pPr>
      <w:r>
        <w:separator/>
      </w:r>
    </w:p>
  </w:endnote>
  <w:endnote w:type="continuationSeparator" w:id="1">
    <w:p w:rsidR="001E26E0" w:rsidRDefault="001E2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43" w:rsidRDefault="002D48F7">
    <w:pPr>
      <w:pStyle w:val="Footer"/>
      <w:jc w:val="right"/>
    </w:pPr>
    <w:r>
      <w:fldChar w:fldCharType="begin"/>
    </w:r>
    <w:r w:rsidR="00073DE8">
      <w:instrText xml:space="preserve"> PAGE   \* MERGEFORMAT </w:instrText>
    </w:r>
    <w:r>
      <w:fldChar w:fldCharType="separate"/>
    </w:r>
    <w:r w:rsidR="003E13C9">
      <w:rPr>
        <w:noProof/>
      </w:rPr>
      <w:t>2</w:t>
    </w:r>
    <w:r>
      <w:rPr>
        <w:noProof/>
      </w:rPr>
      <w:fldChar w:fldCharType="end"/>
    </w:r>
  </w:p>
  <w:p w:rsidR="00142D4B" w:rsidRDefault="00142D4B">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4B" w:rsidRDefault="00142D4B">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6E0" w:rsidRDefault="001E26E0">
      <w:pPr>
        <w:spacing w:after="0" w:line="240" w:lineRule="auto"/>
      </w:pPr>
      <w:r>
        <w:separator/>
      </w:r>
    </w:p>
  </w:footnote>
  <w:footnote w:type="continuationSeparator" w:id="1">
    <w:p w:rsidR="001E26E0" w:rsidRDefault="001E26E0">
      <w:pPr>
        <w:spacing w:after="0" w:line="240" w:lineRule="auto"/>
      </w:pPr>
      <w:r>
        <w:continuationSeparator/>
      </w:r>
    </w:p>
  </w:footnote>
  <w:footnote w:id="2">
    <w:p w:rsidR="00C54878" w:rsidRPr="00C54878" w:rsidRDefault="00C54878">
      <w:pPr>
        <w:pStyle w:val="FootnoteText"/>
        <w:rPr>
          <w:lang w:val="en-US"/>
        </w:rPr>
      </w:pPr>
      <w:r>
        <w:rPr>
          <w:rStyle w:val="FootnoteReference"/>
        </w:rPr>
        <w:footnoteRef/>
      </w:r>
      <w:r>
        <w:rPr>
          <w:lang w:val="en-US"/>
        </w:rPr>
        <w:t xml:space="preserve">Please note that during the editing process, documents often become longer (with the elaboration of terms etc.) so country teams should consider submitting the final draft which is approximately 8,000 words. </w:t>
      </w:r>
      <w:r w:rsidR="002B06FC">
        <w:rPr>
          <w:lang w:val="en-US"/>
        </w:rPr>
        <w:t>Please also note that no agency-specific logos will be included in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4B" w:rsidRDefault="00142D4B">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4B" w:rsidRDefault="00142D4B">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7261E36"/>
    <w:lvl w:ilvl="0">
      <w:start w:val="1"/>
      <w:numFmt w:val="decimal"/>
      <w:lvlText w:val="%1)"/>
      <w:lvlJc w:val="left"/>
      <w:pPr>
        <w:tabs>
          <w:tab w:val="num" w:pos="0"/>
        </w:tabs>
        <w:ind w:left="0" w:firstLine="360"/>
      </w:pPr>
      <w:rPr>
        <w:rFonts w:ascii="Times New Roman" w:eastAsia="ヒラギノ角ゴ Pro W3" w:hAnsi="Times New Roman" w:cs="Times New Roman" w:hint="default"/>
        <w:color w:val="000000"/>
        <w:position w:val="0"/>
        <w:sz w:val="22"/>
      </w:rPr>
    </w:lvl>
    <w:lvl w:ilvl="1">
      <w:start w:val="1"/>
      <w:numFmt w:val="lowerLetter"/>
      <w:suff w:val="nothing"/>
      <w:lvlText w:val="%2."/>
      <w:lvlJc w:val="left"/>
      <w:pPr>
        <w:ind w:left="-360" w:firstLine="1440"/>
      </w:pPr>
      <w:rPr>
        <w:rFonts w:hint="default"/>
        <w:color w:val="000000"/>
        <w:position w:val="0"/>
        <w:sz w:val="22"/>
      </w:rPr>
    </w:lvl>
    <w:lvl w:ilvl="2">
      <w:start w:val="1"/>
      <w:numFmt w:val="lowerRoman"/>
      <w:suff w:val="nothing"/>
      <w:lvlText w:val="%3."/>
      <w:lvlJc w:val="left"/>
      <w:pPr>
        <w:ind w:left="-360" w:firstLine="2160"/>
      </w:pPr>
      <w:rPr>
        <w:rFonts w:hint="default"/>
        <w:color w:val="000000"/>
        <w:position w:val="0"/>
        <w:sz w:val="22"/>
      </w:rPr>
    </w:lvl>
    <w:lvl w:ilvl="3">
      <w:start w:val="1"/>
      <w:numFmt w:val="decimal"/>
      <w:isLgl/>
      <w:suff w:val="nothing"/>
      <w:lvlText w:val="%4."/>
      <w:lvlJc w:val="left"/>
      <w:pPr>
        <w:ind w:left="-360" w:firstLine="2880"/>
      </w:pPr>
      <w:rPr>
        <w:rFonts w:hint="default"/>
        <w:color w:val="000000"/>
        <w:position w:val="0"/>
        <w:sz w:val="22"/>
      </w:rPr>
    </w:lvl>
    <w:lvl w:ilvl="4">
      <w:start w:val="1"/>
      <w:numFmt w:val="lowerLetter"/>
      <w:suff w:val="nothing"/>
      <w:lvlText w:val="%5."/>
      <w:lvlJc w:val="left"/>
      <w:pPr>
        <w:ind w:left="-360" w:firstLine="3600"/>
      </w:pPr>
      <w:rPr>
        <w:rFonts w:hint="default"/>
        <w:color w:val="000000"/>
        <w:position w:val="0"/>
        <w:sz w:val="22"/>
      </w:rPr>
    </w:lvl>
    <w:lvl w:ilvl="5">
      <w:start w:val="1"/>
      <w:numFmt w:val="lowerRoman"/>
      <w:suff w:val="nothing"/>
      <w:lvlText w:val="%6."/>
      <w:lvlJc w:val="left"/>
      <w:pPr>
        <w:ind w:left="-360" w:firstLine="4320"/>
      </w:pPr>
      <w:rPr>
        <w:rFonts w:hint="default"/>
        <w:color w:val="000000"/>
        <w:position w:val="0"/>
        <w:sz w:val="22"/>
      </w:rPr>
    </w:lvl>
    <w:lvl w:ilvl="6">
      <w:start w:val="1"/>
      <w:numFmt w:val="decimal"/>
      <w:isLgl/>
      <w:suff w:val="nothing"/>
      <w:lvlText w:val="%7."/>
      <w:lvlJc w:val="left"/>
      <w:pPr>
        <w:ind w:left="-360" w:firstLine="5040"/>
      </w:pPr>
      <w:rPr>
        <w:rFonts w:hint="default"/>
        <w:color w:val="000000"/>
        <w:position w:val="0"/>
        <w:sz w:val="22"/>
      </w:rPr>
    </w:lvl>
    <w:lvl w:ilvl="7">
      <w:start w:val="1"/>
      <w:numFmt w:val="lowerLetter"/>
      <w:suff w:val="nothing"/>
      <w:lvlText w:val="%8."/>
      <w:lvlJc w:val="left"/>
      <w:pPr>
        <w:ind w:left="-360" w:firstLine="5760"/>
      </w:pPr>
      <w:rPr>
        <w:rFonts w:hint="default"/>
        <w:color w:val="000000"/>
        <w:position w:val="0"/>
        <w:sz w:val="22"/>
      </w:rPr>
    </w:lvl>
    <w:lvl w:ilvl="8">
      <w:start w:val="1"/>
      <w:numFmt w:val="lowerRoman"/>
      <w:suff w:val="nothing"/>
      <w:lvlText w:val="%9."/>
      <w:lvlJc w:val="left"/>
      <w:pPr>
        <w:ind w:left="-360" w:firstLine="6480"/>
      </w:pPr>
      <w:rPr>
        <w:rFonts w:hint="default"/>
        <w:color w:val="000000"/>
        <w:position w:val="0"/>
        <w:sz w:val="22"/>
      </w:rPr>
    </w:lvl>
  </w:abstractNum>
  <w:abstractNum w:abstractNumId="1">
    <w:nsid w:val="292C2CAF"/>
    <w:multiLevelType w:val="hybridMultilevel"/>
    <w:tmpl w:val="050022B2"/>
    <w:lvl w:ilvl="0" w:tplc="AC526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9207A"/>
    <w:multiLevelType w:val="multilevel"/>
    <w:tmpl w:val="5F769CEA"/>
    <w:lvl w:ilvl="0">
      <w:start w:val="1"/>
      <w:numFmt w:val="upperRoman"/>
      <w:lvlText w:val="%1."/>
      <w:lvlJc w:val="right"/>
      <w:pPr>
        <w:tabs>
          <w:tab w:val="num" w:pos="0"/>
        </w:tabs>
        <w:ind w:left="0" w:firstLine="360"/>
      </w:pPr>
      <w:rPr>
        <w:rFonts w:hint="default"/>
        <w:color w:val="000000"/>
        <w:position w:val="0"/>
        <w:sz w:val="22"/>
      </w:rPr>
    </w:lvl>
    <w:lvl w:ilvl="1">
      <w:start w:val="1"/>
      <w:numFmt w:val="lowerLetter"/>
      <w:suff w:val="nothing"/>
      <w:lvlText w:val="%2."/>
      <w:lvlJc w:val="left"/>
      <w:pPr>
        <w:ind w:left="-360" w:firstLine="1440"/>
      </w:pPr>
      <w:rPr>
        <w:rFonts w:hint="default"/>
        <w:color w:val="000000"/>
        <w:position w:val="0"/>
        <w:sz w:val="22"/>
      </w:rPr>
    </w:lvl>
    <w:lvl w:ilvl="2">
      <w:start w:val="1"/>
      <w:numFmt w:val="lowerRoman"/>
      <w:suff w:val="nothing"/>
      <w:lvlText w:val="%3."/>
      <w:lvlJc w:val="left"/>
      <w:pPr>
        <w:ind w:left="-360" w:firstLine="2160"/>
      </w:pPr>
      <w:rPr>
        <w:rFonts w:hint="default"/>
        <w:color w:val="000000"/>
        <w:position w:val="0"/>
        <w:sz w:val="22"/>
      </w:rPr>
    </w:lvl>
    <w:lvl w:ilvl="3">
      <w:start w:val="1"/>
      <w:numFmt w:val="decimal"/>
      <w:isLgl/>
      <w:suff w:val="nothing"/>
      <w:lvlText w:val="%4."/>
      <w:lvlJc w:val="left"/>
      <w:pPr>
        <w:ind w:left="-360" w:firstLine="2880"/>
      </w:pPr>
      <w:rPr>
        <w:rFonts w:hint="default"/>
        <w:color w:val="000000"/>
        <w:position w:val="0"/>
        <w:sz w:val="22"/>
      </w:rPr>
    </w:lvl>
    <w:lvl w:ilvl="4">
      <w:start w:val="1"/>
      <w:numFmt w:val="lowerLetter"/>
      <w:suff w:val="nothing"/>
      <w:lvlText w:val="%5."/>
      <w:lvlJc w:val="left"/>
      <w:pPr>
        <w:ind w:left="-360" w:firstLine="3600"/>
      </w:pPr>
      <w:rPr>
        <w:rFonts w:hint="default"/>
        <w:color w:val="000000"/>
        <w:position w:val="0"/>
        <w:sz w:val="22"/>
      </w:rPr>
    </w:lvl>
    <w:lvl w:ilvl="5">
      <w:start w:val="1"/>
      <w:numFmt w:val="lowerRoman"/>
      <w:suff w:val="nothing"/>
      <w:lvlText w:val="%6."/>
      <w:lvlJc w:val="left"/>
      <w:pPr>
        <w:ind w:left="-360" w:firstLine="4320"/>
      </w:pPr>
      <w:rPr>
        <w:rFonts w:hint="default"/>
        <w:color w:val="000000"/>
        <w:position w:val="0"/>
        <w:sz w:val="22"/>
      </w:rPr>
    </w:lvl>
    <w:lvl w:ilvl="6">
      <w:start w:val="1"/>
      <w:numFmt w:val="decimal"/>
      <w:isLgl/>
      <w:suff w:val="nothing"/>
      <w:lvlText w:val="%7."/>
      <w:lvlJc w:val="left"/>
      <w:pPr>
        <w:ind w:left="-360" w:firstLine="5040"/>
      </w:pPr>
      <w:rPr>
        <w:rFonts w:hint="default"/>
        <w:color w:val="000000"/>
        <w:position w:val="0"/>
        <w:sz w:val="22"/>
      </w:rPr>
    </w:lvl>
    <w:lvl w:ilvl="7">
      <w:start w:val="1"/>
      <w:numFmt w:val="lowerLetter"/>
      <w:suff w:val="nothing"/>
      <w:lvlText w:val="%8."/>
      <w:lvlJc w:val="left"/>
      <w:pPr>
        <w:ind w:left="-360" w:firstLine="5760"/>
      </w:pPr>
      <w:rPr>
        <w:rFonts w:hint="default"/>
        <w:color w:val="000000"/>
        <w:position w:val="0"/>
        <w:sz w:val="22"/>
      </w:rPr>
    </w:lvl>
    <w:lvl w:ilvl="8">
      <w:start w:val="1"/>
      <w:numFmt w:val="lowerRoman"/>
      <w:suff w:val="nothing"/>
      <w:lvlText w:val="%9."/>
      <w:lvlJc w:val="left"/>
      <w:pPr>
        <w:ind w:left="-360" w:firstLine="6480"/>
      </w:pPr>
      <w:rPr>
        <w:rFonts w:hint="default"/>
        <w:color w:val="000000"/>
        <w:position w:val="0"/>
        <w:sz w:val="22"/>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416AF"/>
    <w:rsid w:val="00004894"/>
    <w:rsid w:val="00023152"/>
    <w:rsid w:val="000437C2"/>
    <w:rsid w:val="0006251F"/>
    <w:rsid w:val="00073DE8"/>
    <w:rsid w:val="000A0110"/>
    <w:rsid w:val="000A72D5"/>
    <w:rsid w:val="000B6511"/>
    <w:rsid w:val="000D2D1D"/>
    <w:rsid w:val="000E2B28"/>
    <w:rsid w:val="000E7FD2"/>
    <w:rsid w:val="000F65C9"/>
    <w:rsid w:val="00116CEE"/>
    <w:rsid w:val="00141A7C"/>
    <w:rsid w:val="00142D4B"/>
    <w:rsid w:val="0016525E"/>
    <w:rsid w:val="00182C49"/>
    <w:rsid w:val="001C2F5C"/>
    <w:rsid w:val="001E26E0"/>
    <w:rsid w:val="00285872"/>
    <w:rsid w:val="002B06FC"/>
    <w:rsid w:val="002C375D"/>
    <w:rsid w:val="002D262F"/>
    <w:rsid w:val="002D48F7"/>
    <w:rsid w:val="002D5FA0"/>
    <w:rsid w:val="00317AF5"/>
    <w:rsid w:val="0032237C"/>
    <w:rsid w:val="0032347F"/>
    <w:rsid w:val="00360402"/>
    <w:rsid w:val="0036594F"/>
    <w:rsid w:val="00366EAD"/>
    <w:rsid w:val="00372AF9"/>
    <w:rsid w:val="003B57D8"/>
    <w:rsid w:val="003B7EB3"/>
    <w:rsid w:val="003D5C34"/>
    <w:rsid w:val="003E13C9"/>
    <w:rsid w:val="00431C37"/>
    <w:rsid w:val="00444E69"/>
    <w:rsid w:val="004616BD"/>
    <w:rsid w:val="00473F97"/>
    <w:rsid w:val="00484C26"/>
    <w:rsid w:val="004B4732"/>
    <w:rsid w:val="004E6254"/>
    <w:rsid w:val="005416AF"/>
    <w:rsid w:val="00556D56"/>
    <w:rsid w:val="00592DE5"/>
    <w:rsid w:val="005C3B9A"/>
    <w:rsid w:val="005F436B"/>
    <w:rsid w:val="005F52DF"/>
    <w:rsid w:val="00614F99"/>
    <w:rsid w:val="00626CCD"/>
    <w:rsid w:val="006428D1"/>
    <w:rsid w:val="00664A41"/>
    <w:rsid w:val="00683C11"/>
    <w:rsid w:val="006C28DB"/>
    <w:rsid w:val="006E1FD0"/>
    <w:rsid w:val="007237AF"/>
    <w:rsid w:val="00737B1E"/>
    <w:rsid w:val="00747570"/>
    <w:rsid w:val="00785E07"/>
    <w:rsid w:val="007A258E"/>
    <w:rsid w:val="00836BAA"/>
    <w:rsid w:val="008628E5"/>
    <w:rsid w:val="008828BD"/>
    <w:rsid w:val="008C1397"/>
    <w:rsid w:val="008C6E1D"/>
    <w:rsid w:val="00927AF7"/>
    <w:rsid w:val="00930630"/>
    <w:rsid w:val="00962C43"/>
    <w:rsid w:val="009A3B79"/>
    <w:rsid w:val="009B6C26"/>
    <w:rsid w:val="00A00329"/>
    <w:rsid w:val="00A01D21"/>
    <w:rsid w:val="00A75633"/>
    <w:rsid w:val="00A81EDC"/>
    <w:rsid w:val="00AE1B35"/>
    <w:rsid w:val="00AF09E3"/>
    <w:rsid w:val="00AF12F3"/>
    <w:rsid w:val="00AF26B4"/>
    <w:rsid w:val="00B10641"/>
    <w:rsid w:val="00B15D77"/>
    <w:rsid w:val="00B32E0C"/>
    <w:rsid w:val="00B32F70"/>
    <w:rsid w:val="00BD1F91"/>
    <w:rsid w:val="00C45E92"/>
    <w:rsid w:val="00C50C6F"/>
    <w:rsid w:val="00C54878"/>
    <w:rsid w:val="00CB19A0"/>
    <w:rsid w:val="00CE638B"/>
    <w:rsid w:val="00D02C6B"/>
    <w:rsid w:val="00D431A3"/>
    <w:rsid w:val="00D86A37"/>
    <w:rsid w:val="00D965B5"/>
    <w:rsid w:val="00DA1BFE"/>
    <w:rsid w:val="00DD76A1"/>
    <w:rsid w:val="00DE7DFA"/>
    <w:rsid w:val="00E45573"/>
    <w:rsid w:val="00E772FE"/>
    <w:rsid w:val="00E8424F"/>
    <w:rsid w:val="00E85564"/>
    <w:rsid w:val="00EB080A"/>
    <w:rsid w:val="00EB7B69"/>
    <w:rsid w:val="00F00CD0"/>
    <w:rsid w:val="00F016F5"/>
    <w:rsid w:val="00F53E98"/>
    <w:rsid w:val="00F624C6"/>
    <w:rsid w:val="00F70525"/>
    <w:rsid w:val="00FC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2D48F7"/>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2D48F7"/>
    <w:pPr>
      <w:tabs>
        <w:tab w:val="right" w:pos="9360"/>
      </w:tabs>
    </w:pPr>
    <w:rPr>
      <w:rFonts w:ascii="Helvetica" w:eastAsia="ヒラギノ角ゴ Pro W3" w:hAnsi="Helvetica"/>
      <w:color w:val="000000"/>
    </w:rPr>
  </w:style>
  <w:style w:type="paragraph" w:customStyle="1" w:styleId="BodyA">
    <w:name w:val="Body A"/>
    <w:rsid w:val="002D48F7"/>
    <w:rPr>
      <w:rFonts w:ascii="Helvetica" w:eastAsia="ヒラギノ角ゴ Pro W3" w:hAnsi="Helvetica"/>
      <w:color w:val="000000"/>
      <w:sz w:val="24"/>
    </w:rPr>
  </w:style>
  <w:style w:type="paragraph" w:styleId="ListParagraph">
    <w:name w:val="List Paragraph"/>
    <w:qFormat/>
    <w:rsid w:val="002D48F7"/>
    <w:pPr>
      <w:ind w:left="720"/>
    </w:pPr>
    <w:rPr>
      <w:rFonts w:eastAsia="ヒラギノ角ゴ Pro W3"/>
      <w:color w:val="000000"/>
      <w:sz w:val="24"/>
      <w:lang w:val="en-GB"/>
    </w:rPr>
  </w:style>
  <w:style w:type="paragraph" w:customStyle="1" w:styleId="FootnoteText1">
    <w:name w:val="Footnote Text1"/>
    <w:rsid w:val="002D48F7"/>
    <w:rPr>
      <w:rFonts w:ascii="Lucida Grande" w:eastAsia="ヒラギノ角ゴ Pro W3" w:hAnsi="Lucida Grande"/>
      <w:color w:val="000000"/>
      <w:lang w:val="en-GB"/>
    </w:rPr>
  </w:style>
  <w:style w:type="character" w:customStyle="1" w:styleId="FootnoteReference1">
    <w:name w:val="Footnote Reference1"/>
    <w:rsid w:val="002D48F7"/>
    <w:rPr>
      <w:color w:val="000000"/>
      <w:sz w:val="22"/>
      <w:vertAlign w:val="superscript"/>
    </w:rPr>
  </w:style>
  <w:style w:type="paragraph" w:styleId="Header">
    <w:name w:val="header"/>
    <w:basedOn w:val="Normal"/>
    <w:link w:val="HeaderChar"/>
    <w:locked/>
    <w:rsid w:val="00962C43"/>
    <w:pPr>
      <w:tabs>
        <w:tab w:val="center" w:pos="4680"/>
        <w:tab w:val="right" w:pos="9360"/>
      </w:tabs>
    </w:pPr>
  </w:style>
  <w:style w:type="character" w:customStyle="1" w:styleId="HeaderChar">
    <w:name w:val="Header Char"/>
    <w:link w:val="Header"/>
    <w:rsid w:val="00962C43"/>
    <w:rPr>
      <w:rFonts w:ascii="Lucida Grande" w:eastAsia="ヒラギノ角ゴ Pro W3" w:hAnsi="Lucida Grande"/>
      <w:color w:val="000000"/>
      <w:sz w:val="22"/>
      <w:szCs w:val="24"/>
      <w:lang w:val="en-GB"/>
    </w:rPr>
  </w:style>
  <w:style w:type="paragraph" w:styleId="Footer">
    <w:name w:val="footer"/>
    <w:basedOn w:val="Normal"/>
    <w:link w:val="FooterChar"/>
    <w:uiPriority w:val="99"/>
    <w:locked/>
    <w:rsid w:val="00962C43"/>
    <w:pPr>
      <w:tabs>
        <w:tab w:val="center" w:pos="4680"/>
        <w:tab w:val="right" w:pos="9360"/>
      </w:tabs>
    </w:pPr>
  </w:style>
  <w:style w:type="character" w:customStyle="1" w:styleId="FooterChar">
    <w:name w:val="Footer Char"/>
    <w:link w:val="Footer"/>
    <w:uiPriority w:val="99"/>
    <w:rsid w:val="00962C43"/>
    <w:rPr>
      <w:rFonts w:ascii="Lucida Grande" w:eastAsia="ヒラギノ角ゴ Pro W3" w:hAnsi="Lucida Grande"/>
      <w:color w:val="000000"/>
      <w:sz w:val="22"/>
      <w:szCs w:val="24"/>
      <w:lang w:val="en-GB"/>
    </w:rPr>
  </w:style>
  <w:style w:type="paragraph" w:styleId="BalloonText">
    <w:name w:val="Balloon Text"/>
    <w:basedOn w:val="Normal"/>
    <w:link w:val="BalloonTextChar"/>
    <w:locked/>
    <w:rsid w:val="002C375D"/>
    <w:pPr>
      <w:spacing w:after="0" w:line="240" w:lineRule="auto"/>
    </w:pPr>
    <w:rPr>
      <w:rFonts w:ascii="Tahoma" w:hAnsi="Tahoma" w:cs="Tahoma"/>
      <w:sz w:val="16"/>
      <w:szCs w:val="16"/>
    </w:rPr>
  </w:style>
  <w:style w:type="character" w:customStyle="1" w:styleId="BalloonTextChar">
    <w:name w:val="Balloon Text Char"/>
    <w:link w:val="BalloonText"/>
    <w:rsid w:val="002C375D"/>
    <w:rPr>
      <w:rFonts w:ascii="Tahoma" w:eastAsia="ヒラギノ角ゴ Pro W3" w:hAnsi="Tahoma" w:cs="Tahoma"/>
      <w:color w:val="000000"/>
      <w:sz w:val="16"/>
      <w:szCs w:val="16"/>
      <w:lang w:val="en-GB"/>
    </w:rPr>
  </w:style>
  <w:style w:type="paragraph" w:styleId="FootnoteText">
    <w:name w:val="footnote text"/>
    <w:basedOn w:val="Normal"/>
    <w:link w:val="FootnoteTextChar"/>
    <w:locked/>
    <w:rsid w:val="00C54878"/>
    <w:rPr>
      <w:sz w:val="20"/>
      <w:szCs w:val="20"/>
    </w:rPr>
  </w:style>
  <w:style w:type="character" w:customStyle="1" w:styleId="FootnoteTextChar">
    <w:name w:val="Footnote Text Char"/>
    <w:link w:val="FootnoteText"/>
    <w:rsid w:val="00C54878"/>
    <w:rPr>
      <w:rFonts w:ascii="Lucida Grande" w:eastAsia="ヒラギノ角ゴ Pro W3" w:hAnsi="Lucida Grande"/>
      <w:color w:val="000000"/>
      <w:lang w:val="en-GB"/>
    </w:rPr>
  </w:style>
  <w:style w:type="character" w:styleId="FootnoteReference">
    <w:name w:val="footnote reference"/>
    <w:locked/>
    <w:rsid w:val="00C54878"/>
    <w:rPr>
      <w:vertAlign w:val="superscript"/>
    </w:rPr>
  </w:style>
  <w:style w:type="character" w:styleId="CommentReference">
    <w:name w:val="annotation reference"/>
    <w:basedOn w:val="DefaultParagraphFont"/>
    <w:locked/>
    <w:rsid w:val="006C28DB"/>
    <w:rPr>
      <w:sz w:val="16"/>
      <w:szCs w:val="16"/>
    </w:rPr>
  </w:style>
  <w:style w:type="paragraph" w:styleId="CommentText">
    <w:name w:val="annotation text"/>
    <w:basedOn w:val="Normal"/>
    <w:link w:val="CommentTextChar"/>
    <w:locked/>
    <w:rsid w:val="006C28DB"/>
    <w:rPr>
      <w:sz w:val="20"/>
      <w:szCs w:val="20"/>
    </w:rPr>
  </w:style>
  <w:style w:type="character" w:customStyle="1" w:styleId="CommentTextChar">
    <w:name w:val="Comment Text Char"/>
    <w:basedOn w:val="DefaultParagraphFont"/>
    <w:link w:val="CommentText"/>
    <w:rsid w:val="006C28DB"/>
    <w:rPr>
      <w:rFonts w:ascii="Lucida Grande" w:eastAsia="ヒラギノ角ゴ Pro W3" w:hAnsi="Lucida Grande"/>
      <w:color w:val="000000"/>
      <w:lang w:val="en-GB"/>
    </w:rPr>
  </w:style>
  <w:style w:type="paragraph" w:styleId="CommentSubject">
    <w:name w:val="annotation subject"/>
    <w:basedOn w:val="CommentText"/>
    <w:next w:val="CommentText"/>
    <w:link w:val="CommentSubjectChar"/>
    <w:locked/>
    <w:rsid w:val="006C28DB"/>
    <w:rPr>
      <w:b/>
      <w:bCs/>
    </w:rPr>
  </w:style>
  <w:style w:type="character" w:customStyle="1" w:styleId="CommentSubjectChar">
    <w:name w:val="Comment Subject Char"/>
    <w:basedOn w:val="CommentTextChar"/>
    <w:link w:val="CommentSubject"/>
    <w:rsid w:val="006C28DB"/>
    <w:rPr>
      <w:rFonts w:ascii="Lucida Grande" w:eastAsia="ヒラギノ角ゴ Pro W3" w:hAnsi="Lucida Grande"/>
      <w:b/>
      <w:bCs/>
      <w:color w:val="000000"/>
      <w:lang w:val="en-GB"/>
    </w:rPr>
  </w:style>
  <w:style w:type="character" w:styleId="Hyperlink">
    <w:name w:val="Hyperlink"/>
    <w:basedOn w:val="DefaultParagraphFont"/>
    <w:locked/>
    <w:rsid w:val="00D43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ListParagraph">
    <w:name w:val="List Paragraph"/>
    <w:qFormat/>
    <w:pPr>
      <w:ind w:left="720"/>
    </w:pPr>
    <w:rPr>
      <w:rFonts w:eastAsia="ヒラギノ角ゴ Pro W3"/>
      <w:color w:val="000000"/>
      <w:sz w:val="24"/>
      <w:lang w:val="en-GB"/>
    </w:rPr>
  </w:style>
  <w:style w:type="paragraph" w:customStyle="1" w:styleId="FootnoteText1">
    <w:name w:val="Footnote Text1"/>
    <w:rPr>
      <w:rFonts w:ascii="Lucida Grande" w:eastAsia="ヒラギノ角ゴ Pro W3" w:hAnsi="Lucida Grande"/>
      <w:color w:val="000000"/>
      <w:lang w:val="en-GB"/>
    </w:rPr>
  </w:style>
  <w:style w:type="character" w:customStyle="1" w:styleId="FootnoteReference1">
    <w:name w:val="Footnote Reference1"/>
    <w:rPr>
      <w:color w:val="000000"/>
      <w:sz w:val="22"/>
      <w:vertAlign w:val="superscript"/>
    </w:rPr>
  </w:style>
  <w:style w:type="paragraph" w:styleId="Header">
    <w:name w:val="header"/>
    <w:basedOn w:val="Normal"/>
    <w:link w:val="HeaderChar"/>
    <w:locked/>
    <w:rsid w:val="00962C43"/>
    <w:pPr>
      <w:tabs>
        <w:tab w:val="center" w:pos="4680"/>
        <w:tab w:val="right" w:pos="9360"/>
      </w:tabs>
    </w:pPr>
  </w:style>
  <w:style w:type="character" w:customStyle="1" w:styleId="HeaderChar">
    <w:name w:val="Header Char"/>
    <w:link w:val="Header"/>
    <w:rsid w:val="00962C43"/>
    <w:rPr>
      <w:rFonts w:ascii="Lucida Grande" w:eastAsia="ヒラギノ角ゴ Pro W3" w:hAnsi="Lucida Grande"/>
      <w:color w:val="000000"/>
      <w:sz w:val="22"/>
      <w:szCs w:val="24"/>
      <w:lang w:val="en-GB"/>
    </w:rPr>
  </w:style>
  <w:style w:type="paragraph" w:styleId="Footer">
    <w:name w:val="footer"/>
    <w:basedOn w:val="Normal"/>
    <w:link w:val="FooterChar"/>
    <w:uiPriority w:val="99"/>
    <w:locked/>
    <w:rsid w:val="00962C43"/>
    <w:pPr>
      <w:tabs>
        <w:tab w:val="center" w:pos="4680"/>
        <w:tab w:val="right" w:pos="9360"/>
      </w:tabs>
    </w:pPr>
  </w:style>
  <w:style w:type="character" w:customStyle="1" w:styleId="FooterChar">
    <w:name w:val="Footer Char"/>
    <w:link w:val="Footer"/>
    <w:uiPriority w:val="99"/>
    <w:rsid w:val="00962C43"/>
    <w:rPr>
      <w:rFonts w:ascii="Lucida Grande" w:eastAsia="ヒラギノ角ゴ Pro W3" w:hAnsi="Lucida Grande"/>
      <w:color w:val="000000"/>
      <w:sz w:val="22"/>
      <w:szCs w:val="24"/>
      <w:lang w:val="en-GB"/>
    </w:rPr>
  </w:style>
  <w:style w:type="paragraph" w:styleId="BalloonText">
    <w:name w:val="Balloon Text"/>
    <w:basedOn w:val="Normal"/>
    <w:link w:val="BalloonTextChar"/>
    <w:locked/>
    <w:rsid w:val="002C375D"/>
    <w:pPr>
      <w:spacing w:after="0" w:line="240" w:lineRule="auto"/>
    </w:pPr>
    <w:rPr>
      <w:rFonts w:ascii="Tahoma" w:hAnsi="Tahoma" w:cs="Tahoma"/>
      <w:sz w:val="16"/>
      <w:szCs w:val="16"/>
    </w:rPr>
  </w:style>
  <w:style w:type="character" w:customStyle="1" w:styleId="BalloonTextChar">
    <w:name w:val="Balloon Text Char"/>
    <w:link w:val="BalloonText"/>
    <w:rsid w:val="002C375D"/>
    <w:rPr>
      <w:rFonts w:ascii="Tahoma" w:eastAsia="ヒラギノ角ゴ Pro W3" w:hAnsi="Tahoma" w:cs="Tahoma"/>
      <w:color w:val="000000"/>
      <w:sz w:val="16"/>
      <w:szCs w:val="16"/>
      <w:lang w:val="en-GB"/>
    </w:rPr>
  </w:style>
  <w:style w:type="paragraph" w:styleId="FootnoteText">
    <w:name w:val="footnote text"/>
    <w:basedOn w:val="Normal"/>
    <w:link w:val="FootnoteTextChar"/>
    <w:locked/>
    <w:rsid w:val="00C54878"/>
    <w:rPr>
      <w:sz w:val="20"/>
      <w:szCs w:val="20"/>
    </w:rPr>
  </w:style>
  <w:style w:type="character" w:customStyle="1" w:styleId="FootnoteTextChar">
    <w:name w:val="Footnote Text Char"/>
    <w:link w:val="FootnoteText"/>
    <w:rsid w:val="00C54878"/>
    <w:rPr>
      <w:rFonts w:ascii="Lucida Grande" w:eastAsia="ヒラギノ角ゴ Pro W3" w:hAnsi="Lucida Grande"/>
      <w:color w:val="000000"/>
      <w:lang w:val="en-GB"/>
    </w:rPr>
  </w:style>
  <w:style w:type="character" w:styleId="FootnoteReference">
    <w:name w:val="footnote reference"/>
    <w:locked/>
    <w:rsid w:val="00C54878"/>
    <w:rPr>
      <w:vertAlign w:val="superscript"/>
    </w:rPr>
  </w:style>
  <w:style w:type="character" w:styleId="CommentReference">
    <w:name w:val="annotation reference"/>
    <w:basedOn w:val="DefaultParagraphFont"/>
    <w:locked/>
    <w:rsid w:val="006C28DB"/>
    <w:rPr>
      <w:sz w:val="16"/>
      <w:szCs w:val="16"/>
    </w:rPr>
  </w:style>
  <w:style w:type="paragraph" w:styleId="CommentText">
    <w:name w:val="annotation text"/>
    <w:basedOn w:val="Normal"/>
    <w:link w:val="CommentTextChar"/>
    <w:locked/>
    <w:rsid w:val="006C28DB"/>
    <w:rPr>
      <w:sz w:val="20"/>
      <w:szCs w:val="20"/>
    </w:rPr>
  </w:style>
  <w:style w:type="character" w:customStyle="1" w:styleId="CommentTextChar">
    <w:name w:val="Comment Text Char"/>
    <w:basedOn w:val="DefaultParagraphFont"/>
    <w:link w:val="CommentText"/>
    <w:rsid w:val="006C28DB"/>
    <w:rPr>
      <w:rFonts w:ascii="Lucida Grande" w:eastAsia="ヒラギノ角ゴ Pro W3" w:hAnsi="Lucida Grande"/>
      <w:color w:val="000000"/>
      <w:lang w:val="en-GB"/>
    </w:rPr>
  </w:style>
  <w:style w:type="paragraph" w:styleId="CommentSubject">
    <w:name w:val="annotation subject"/>
    <w:basedOn w:val="CommentText"/>
    <w:next w:val="CommentText"/>
    <w:link w:val="CommentSubjectChar"/>
    <w:locked/>
    <w:rsid w:val="006C28DB"/>
    <w:rPr>
      <w:b/>
      <w:bCs/>
    </w:rPr>
  </w:style>
  <w:style w:type="character" w:customStyle="1" w:styleId="CommentSubjectChar">
    <w:name w:val="Comment Subject Char"/>
    <w:basedOn w:val="CommentTextChar"/>
    <w:link w:val="CommentSubject"/>
    <w:rsid w:val="006C28DB"/>
    <w:rPr>
      <w:rFonts w:ascii="Lucida Grande" w:eastAsia="ヒラギノ角ゴ Pro W3" w:hAnsi="Lucida Grande"/>
      <w:b/>
      <w:bCs/>
      <w:color w:val="000000"/>
      <w:lang w:val="en-GB"/>
    </w:rPr>
  </w:style>
  <w:style w:type="character" w:styleId="Hyperlink">
    <w:name w:val="Hyperlink"/>
    <w:basedOn w:val="DefaultParagraphFont"/>
    <w:locked/>
    <w:rsid w:val="00D431A3"/>
    <w:rPr>
      <w:color w:val="0000FF" w:themeColor="hyperlink"/>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ngls.org/IMG/pdf_Report_July_2010_N094791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dg.org/docs/10918/N1020213_Engli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F3B9-637B-4BBC-B60A-BCBB447B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john.apruzzese</cp:lastModifiedBy>
  <cp:revision>2</cp:revision>
  <cp:lastPrinted>2010-12-23T18:39:00Z</cp:lastPrinted>
  <dcterms:created xsi:type="dcterms:W3CDTF">2011-02-02T18:41:00Z</dcterms:created>
  <dcterms:modified xsi:type="dcterms:W3CDTF">2011-02-02T18:41:00Z</dcterms:modified>
</cp:coreProperties>
</file>